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3F808" w14:textId="77777777" w:rsidR="00683455" w:rsidRPr="004C7DC2" w:rsidRDefault="00683455" w:rsidP="00683455">
      <w:pPr>
        <w:pStyle w:val="Title"/>
        <w:rPr>
          <w:rFonts w:ascii="Fira Sans Black" w:hAnsi="Fira Sans Black" w:cs="Calibri"/>
          <w:sz w:val="44"/>
          <w:szCs w:val="44"/>
        </w:rPr>
      </w:pPr>
      <w:r w:rsidRPr="004C7DC2">
        <w:rPr>
          <w:rFonts w:ascii="Fira Sans Black" w:hAnsi="Fira Sans Black" w:cs="Calibri"/>
          <w:sz w:val="44"/>
          <w:szCs w:val="44"/>
        </w:rPr>
        <w:t>Artificial Intelligence (AI) in Tribal Casinos</w:t>
      </w:r>
    </w:p>
    <w:p w14:paraId="556F365A" w14:textId="6931F374" w:rsidR="00683455" w:rsidRPr="004D29B5" w:rsidRDefault="00683455" w:rsidP="00683455">
      <w:pPr>
        <w:pStyle w:val="Subtitle"/>
        <w:pBdr>
          <w:bottom w:val="single" w:sz="4" w:space="1" w:color="auto"/>
        </w:pBdr>
        <w:tabs>
          <w:tab w:val="left" w:pos="5280"/>
        </w:tabs>
        <w:rPr>
          <w:rStyle w:val="SubtleEmphasis"/>
          <w:rFonts w:ascii="Calibri" w:eastAsiaTheme="minorEastAsia" w:hAnsi="Calibri" w:cs="Calibri"/>
          <w:color w:val="0070C0"/>
          <w:kern w:val="0"/>
          <w:szCs w:val="22"/>
          <w14:ligatures w14:val="none"/>
        </w:rPr>
      </w:pPr>
      <w:r>
        <w:rPr>
          <w:rStyle w:val="SubtleEmphasis"/>
          <w:rFonts w:ascii="Calibri" w:eastAsiaTheme="minorEastAsia" w:hAnsi="Calibri" w:cs="Calibri"/>
          <w:color w:val="0070C0"/>
          <w:kern w:val="0"/>
          <w:szCs w:val="22"/>
          <w14:ligatures w14:val="none"/>
        </w:rPr>
        <w:t xml:space="preserve">Tribal AI Policy </w:t>
      </w:r>
    </w:p>
    <w:p w14:paraId="268506AB" w14:textId="77777777" w:rsidR="00683455" w:rsidRDefault="00683455" w:rsidP="00683455">
      <w:pPr>
        <w:ind w:left="4320"/>
        <w:jc w:val="both"/>
        <w:rPr>
          <w:rFonts w:eastAsia="MS Mincho" w:cs="Calibri"/>
          <w:kern w:val="0"/>
          <w14:ligatures w14:val="none"/>
        </w:rPr>
      </w:pPr>
    </w:p>
    <w:p w14:paraId="585D9E25" w14:textId="77777777" w:rsidR="00683455" w:rsidRDefault="00683455" w:rsidP="00683455">
      <w:pPr>
        <w:ind w:left="4320"/>
        <w:jc w:val="both"/>
        <w:rPr>
          <w:rFonts w:eastAsia="MS Mincho" w:cs="Calibri"/>
          <w:kern w:val="0"/>
          <w14:ligatures w14:val="none"/>
        </w:rPr>
      </w:pPr>
    </w:p>
    <w:p w14:paraId="1A88CAFC" w14:textId="77777777" w:rsidR="00683455" w:rsidRPr="00683455" w:rsidRDefault="00683455" w:rsidP="00683455">
      <w:pPr>
        <w:ind w:left="4320"/>
        <w:jc w:val="both"/>
        <w:rPr>
          <w:rFonts w:ascii="Calibri" w:eastAsia="MS Mincho" w:hAnsi="Calibri" w:cs="Calibri"/>
          <w:kern w:val="0"/>
          <w:sz w:val="22"/>
          <w:szCs w:val="22"/>
          <w14:ligatures w14:val="none"/>
        </w:rPr>
      </w:pPr>
      <w:r w:rsidRPr="00683455">
        <w:rPr>
          <w:rFonts w:ascii="Calibri" w:eastAsia="MS Mincho" w:hAnsi="Calibri" w:cs="Calibri"/>
          <w:kern w:val="0"/>
          <w:sz w:val="22"/>
          <w:szCs w:val="22"/>
          <w14:ligatures w14:val="none"/>
        </w:rPr>
        <w:t>Created for:</w:t>
      </w:r>
    </w:p>
    <w:p w14:paraId="0CDFDB59" w14:textId="77777777" w:rsidR="00683455" w:rsidRPr="00683455" w:rsidRDefault="00683455" w:rsidP="00683455">
      <w:pPr>
        <w:ind w:left="4320"/>
        <w:jc w:val="both"/>
        <w:rPr>
          <w:rFonts w:ascii="Calibri" w:eastAsia="MS Mincho" w:hAnsi="Calibri" w:cs="Calibri"/>
          <w:kern w:val="0"/>
          <w:sz w:val="22"/>
          <w:szCs w:val="22"/>
          <w14:ligatures w14:val="none"/>
        </w:rPr>
      </w:pPr>
    </w:p>
    <w:p w14:paraId="02EEA8D9" w14:textId="77777777" w:rsidR="00683455" w:rsidRPr="00683455" w:rsidRDefault="00683455" w:rsidP="00683455">
      <w:pPr>
        <w:ind w:left="4320"/>
        <w:jc w:val="both"/>
        <w:rPr>
          <w:rFonts w:ascii="Calibri" w:eastAsia="MS Mincho" w:hAnsi="Calibri" w:cs="Calibri"/>
          <w:kern w:val="0"/>
          <w:sz w:val="22"/>
          <w:szCs w:val="22"/>
          <w14:ligatures w14:val="none"/>
        </w:rPr>
      </w:pPr>
    </w:p>
    <w:p w14:paraId="18D03333" w14:textId="77777777" w:rsidR="00683455" w:rsidRPr="00683455" w:rsidRDefault="00683455" w:rsidP="00683455">
      <w:pPr>
        <w:ind w:left="4320"/>
        <w:jc w:val="both"/>
        <w:rPr>
          <w:rFonts w:ascii="Calibri" w:eastAsia="MS Mincho" w:hAnsi="Calibri" w:cs="Calibri"/>
          <w:kern w:val="0"/>
          <w:sz w:val="22"/>
          <w:szCs w:val="22"/>
          <w14:ligatures w14:val="none"/>
        </w:rPr>
      </w:pPr>
    </w:p>
    <w:p w14:paraId="0648DF02" w14:textId="77777777" w:rsidR="00683455" w:rsidRPr="00683455" w:rsidRDefault="00683455" w:rsidP="00683455">
      <w:pPr>
        <w:ind w:left="4320"/>
        <w:jc w:val="both"/>
        <w:rPr>
          <w:rFonts w:ascii="Calibri" w:eastAsia="MS Mincho" w:hAnsi="Calibri" w:cs="Calibri"/>
          <w:kern w:val="0"/>
          <w:sz w:val="22"/>
          <w:szCs w:val="22"/>
          <w14:ligatures w14:val="none"/>
        </w:rPr>
      </w:pPr>
      <w:r w:rsidRPr="00683455">
        <w:rPr>
          <w:rFonts w:ascii="Calibri" w:eastAsia="MS Mincho" w:hAnsi="Calibri" w:cs="Calibri"/>
          <w:kern w:val="0"/>
          <w:sz w:val="22"/>
          <w:szCs w:val="22"/>
          <w14:ligatures w14:val="none"/>
        </w:rPr>
        <w:t>Created by:</w:t>
      </w:r>
    </w:p>
    <w:p w14:paraId="34A0120A" w14:textId="77777777" w:rsidR="00683455" w:rsidRPr="00683455" w:rsidRDefault="00683455" w:rsidP="00683455">
      <w:pPr>
        <w:ind w:left="4320"/>
        <w:jc w:val="both"/>
        <w:rPr>
          <w:rFonts w:ascii="Calibri" w:eastAsia="MS Mincho" w:hAnsi="Calibri" w:cs="Calibri"/>
          <w:kern w:val="0"/>
          <w:sz w:val="22"/>
          <w:szCs w:val="22"/>
          <w14:ligatures w14:val="none"/>
        </w:rPr>
      </w:pPr>
      <w:r w:rsidRPr="00683455">
        <w:rPr>
          <w:rFonts w:ascii="Calibri" w:eastAsia="MS Mincho" w:hAnsi="Calibri" w:cs="Calibri"/>
          <w:kern w:val="0"/>
          <w:sz w:val="22"/>
          <w:szCs w:val="22"/>
          <w14:ligatures w14:val="none"/>
        </w:rPr>
        <w:t>Jonathan Eaton, CEO</w:t>
      </w:r>
    </w:p>
    <w:p w14:paraId="7BE0D9F4" w14:textId="77777777" w:rsidR="00683455" w:rsidRPr="00683455" w:rsidRDefault="00683455" w:rsidP="00683455">
      <w:pPr>
        <w:ind w:left="4320"/>
        <w:jc w:val="both"/>
        <w:rPr>
          <w:rFonts w:ascii="Calibri" w:eastAsia="MS Mincho" w:hAnsi="Calibri" w:cs="Calibri"/>
          <w:kern w:val="0"/>
          <w:sz w:val="22"/>
          <w:szCs w:val="22"/>
          <w14:ligatures w14:val="none"/>
        </w:rPr>
      </w:pPr>
    </w:p>
    <w:p w14:paraId="7C165B0D" w14:textId="77777777" w:rsidR="00683455" w:rsidRPr="00683455" w:rsidRDefault="00683455" w:rsidP="00683455">
      <w:pPr>
        <w:ind w:left="4320"/>
        <w:jc w:val="both"/>
        <w:rPr>
          <w:rFonts w:ascii="Calibri" w:eastAsia="MS Mincho" w:hAnsi="Calibri" w:cs="Calibri"/>
          <w:kern w:val="0"/>
          <w:sz w:val="22"/>
          <w:szCs w:val="22"/>
          <w14:ligatures w14:val="none"/>
        </w:rPr>
      </w:pPr>
    </w:p>
    <w:p w14:paraId="00AFF3D8" w14:textId="77777777" w:rsidR="00683455" w:rsidRPr="00683455" w:rsidRDefault="00683455" w:rsidP="00683455">
      <w:pPr>
        <w:ind w:left="4320"/>
        <w:jc w:val="both"/>
        <w:rPr>
          <w:rFonts w:ascii="Calibri" w:eastAsia="MS Mincho" w:hAnsi="Calibri" w:cs="Calibri"/>
          <w:kern w:val="0"/>
          <w:sz w:val="22"/>
          <w:szCs w:val="22"/>
          <w14:ligatures w14:val="none"/>
        </w:rPr>
      </w:pPr>
      <w:r w:rsidRPr="00683455">
        <w:rPr>
          <w:rFonts w:ascii="Calibri" w:eastAsia="MS Mincho" w:hAnsi="Calibri" w:cs="Calibri"/>
          <w:kern w:val="0"/>
          <w:sz w:val="22"/>
          <w:szCs w:val="22"/>
          <w14:ligatures w14:val="none"/>
        </w:rPr>
        <w:t>Date:</w:t>
      </w:r>
    </w:p>
    <w:p w14:paraId="792A4B28" w14:textId="77777777" w:rsidR="00683455" w:rsidRPr="00683455" w:rsidRDefault="00683455" w:rsidP="00683455">
      <w:pPr>
        <w:tabs>
          <w:tab w:val="left" w:pos="3768"/>
        </w:tabs>
        <w:rPr>
          <w:rStyle w:val="SubtleEmphasis"/>
          <w:rFonts w:ascii="Calibri" w:eastAsiaTheme="minorEastAsia" w:hAnsi="Calibri" w:cs="Calibri"/>
          <w:color w:val="0070C0"/>
          <w:spacing w:val="15"/>
          <w:kern w:val="0"/>
          <w:sz w:val="22"/>
          <w:szCs w:val="22"/>
          <w14:ligatures w14:val="none"/>
        </w:rPr>
      </w:pPr>
      <w:r w:rsidRPr="00683455">
        <w:rPr>
          <w:rFonts w:ascii="Calibri" w:eastAsia="MS Mincho" w:hAnsi="Calibri" w:cs="Calibri"/>
          <w:kern w:val="0"/>
          <w:sz w:val="22"/>
          <w:szCs w:val="22"/>
          <w14:ligatures w14:val="none"/>
        </w:rPr>
        <w:tab/>
      </w:r>
      <w:r w:rsidRPr="00683455">
        <w:rPr>
          <w:rFonts w:ascii="Calibri" w:eastAsia="MS Mincho" w:hAnsi="Calibri" w:cs="Calibri"/>
          <w:kern w:val="0"/>
          <w:sz w:val="22"/>
          <w:szCs w:val="22"/>
          <w14:ligatures w14:val="none"/>
        </w:rPr>
        <w:tab/>
        <w:t>September 12, 2025</w:t>
      </w:r>
    </w:p>
    <w:p w14:paraId="49D8367B" w14:textId="77777777" w:rsidR="00683455" w:rsidRDefault="00683455" w:rsidP="00434FAC">
      <w:r>
        <w:br w:type="page"/>
      </w:r>
    </w:p>
    <w:p w14:paraId="6B84EC2E" w14:textId="77777777" w:rsidR="00683455" w:rsidRPr="00713B95" w:rsidRDefault="00683455" w:rsidP="00683455">
      <w:pPr>
        <w:pStyle w:val="Heading1"/>
        <w:rPr>
          <w:rFonts w:ascii="Fira Sans Black" w:hAnsi="Fira Sans Black"/>
          <w:color w:val="0E2841" w:themeColor="text2"/>
          <w:kern w:val="0"/>
          <w:sz w:val="36"/>
          <w:szCs w:val="32"/>
          <w14:ligatures w14:val="none"/>
        </w:rPr>
      </w:pPr>
      <w:bookmarkStart w:id="0" w:name="_Toc208822602"/>
      <w:r w:rsidRPr="00713B95">
        <w:rPr>
          <w:rFonts w:ascii="Fira Sans Black" w:hAnsi="Fira Sans Black"/>
          <w:color w:val="0E2841" w:themeColor="text2"/>
          <w:kern w:val="0"/>
          <w:sz w:val="36"/>
          <w:szCs w:val="32"/>
          <w14:ligatures w14:val="none"/>
        </w:rPr>
        <w:lastRenderedPageBreak/>
        <w:t>Versioning</w:t>
      </w:r>
      <w:bookmarkEnd w:id="0"/>
    </w:p>
    <w:tbl>
      <w:tblPr>
        <w:tblStyle w:val="GridTable4-Accent3"/>
        <w:tblW w:w="5000"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884"/>
        <w:gridCol w:w="1918"/>
        <w:gridCol w:w="1145"/>
        <w:gridCol w:w="5407"/>
      </w:tblGrid>
      <w:tr w:rsidR="00683455" w14:paraId="60C4F8A6" w14:textId="77777777" w:rsidTr="002E5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tcPr>
          <w:p w14:paraId="6565887C" w14:textId="77777777" w:rsidR="00683455" w:rsidRPr="00ED6862" w:rsidRDefault="00683455" w:rsidP="002E5928">
            <w:pPr>
              <w:jc w:val="center"/>
              <w:rPr>
                <w:rFonts w:ascii="Calibri" w:hAnsi="Calibri" w:cs="Calibri"/>
              </w:rPr>
            </w:pPr>
            <w:r w:rsidRPr="00ED6862">
              <w:rPr>
                <w:rFonts w:ascii="Calibri" w:hAnsi="Calibri" w:cs="Calibri"/>
              </w:rPr>
              <w:t>Version</w:t>
            </w:r>
          </w:p>
        </w:tc>
        <w:tc>
          <w:tcPr>
            <w:tcW w:w="1025" w:type="pct"/>
          </w:tcPr>
          <w:p w14:paraId="0331ECEB" w14:textId="77777777" w:rsidR="00683455" w:rsidRPr="00ED6862" w:rsidRDefault="00683455"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Date</w:t>
            </w:r>
          </w:p>
        </w:tc>
        <w:tc>
          <w:tcPr>
            <w:tcW w:w="612" w:type="pct"/>
          </w:tcPr>
          <w:p w14:paraId="2D5AAE1E" w14:textId="77777777" w:rsidR="00683455" w:rsidRPr="00ED6862" w:rsidRDefault="00683455"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Author</w:t>
            </w:r>
          </w:p>
        </w:tc>
        <w:tc>
          <w:tcPr>
            <w:tcW w:w="2890" w:type="pct"/>
          </w:tcPr>
          <w:p w14:paraId="0AD677F7" w14:textId="77777777" w:rsidR="00683455" w:rsidRPr="00ED6862" w:rsidRDefault="00683455" w:rsidP="002E5928">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Change Description</w:t>
            </w:r>
          </w:p>
        </w:tc>
      </w:tr>
      <w:tr w:rsidR="00683455" w14:paraId="6B360B61" w14:textId="77777777" w:rsidTr="002E5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vAlign w:val="top"/>
          </w:tcPr>
          <w:p w14:paraId="7F83E1CD" w14:textId="77777777" w:rsidR="00683455" w:rsidRPr="00ED6862" w:rsidRDefault="00683455" w:rsidP="002E5928">
            <w:pPr>
              <w:jc w:val="center"/>
              <w:rPr>
                <w:rFonts w:ascii="Calibri" w:hAnsi="Calibri" w:cs="Calibri"/>
              </w:rPr>
            </w:pPr>
            <w:r w:rsidRPr="00ED6862">
              <w:rPr>
                <w:rFonts w:ascii="Calibri" w:hAnsi="Calibri" w:cs="Calibri"/>
              </w:rPr>
              <w:t>1.0.0</w:t>
            </w:r>
          </w:p>
        </w:tc>
        <w:tc>
          <w:tcPr>
            <w:tcW w:w="1025" w:type="pct"/>
            <w:vAlign w:val="top"/>
          </w:tcPr>
          <w:p w14:paraId="017A6C17" w14:textId="77777777" w:rsidR="00683455" w:rsidRPr="00ED6862" w:rsidRDefault="00683455"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2025-</w:t>
            </w:r>
            <w:r>
              <w:rPr>
                <w:rFonts w:ascii="Calibri" w:hAnsi="Calibri" w:cs="Calibri"/>
              </w:rPr>
              <w:t>09-12</w:t>
            </w:r>
          </w:p>
        </w:tc>
        <w:tc>
          <w:tcPr>
            <w:tcW w:w="612" w:type="pct"/>
            <w:vAlign w:val="top"/>
          </w:tcPr>
          <w:p w14:paraId="50915026" w14:textId="77777777" w:rsidR="00683455" w:rsidRPr="00ED6862" w:rsidRDefault="00683455"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JE</w:t>
            </w:r>
          </w:p>
        </w:tc>
        <w:tc>
          <w:tcPr>
            <w:tcW w:w="2890" w:type="pct"/>
            <w:vAlign w:val="top"/>
          </w:tcPr>
          <w:p w14:paraId="71BC9892" w14:textId="77777777" w:rsidR="00683455" w:rsidRPr="00ED6862" w:rsidRDefault="00683455" w:rsidP="002E5928">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Document creation</w:t>
            </w:r>
          </w:p>
        </w:tc>
      </w:tr>
      <w:tr w:rsidR="00683455" w14:paraId="7DC680A6" w14:textId="77777777" w:rsidTr="002E5928">
        <w:tc>
          <w:tcPr>
            <w:cnfStyle w:val="001000000000" w:firstRow="0" w:lastRow="0" w:firstColumn="1" w:lastColumn="0" w:oddVBand="0" w:evenVBand="0" w:oddHBand="0" w:evenHBand="0" w:firstRowFirstColumn="0" w:firstRowLastColumn="0" w:lastRowFirstColumn="0" w:lastRowLastColumn="0"/>
            <w:tcW w:w="473" w:type="pct"/>
            <w:vAlign w:val="top"/>
          </w:tcPr>
          <w:p w14:paraId="135F6946" w14:textId="77777777" w:rsidR="00683455" w:rsidRPr="00ED6862" w:rsidRDefault="00683455" w:rsidP="002E5928">
            <w:pPr>
              <w:jc w:val="center"/>
              <w:rPr>
                <w:rFonts w:ascii="Calibri" w:hAnsi="Calibri" w:cs="Calibri"/>
              </w:rPr>
            </w:pPr>
            <w:r>
              <w:rPr>
                <w:rFonts w:ascii="Calibri" w:hAnsi="Calibri" w:cs="Calibri"/>
              </w:rPr>
              <w:t>1.0.1</w:t>
            </w:r>
          </w:p>
        </w:tc>
        <w:tc>
          <w:tcPr>
            <w:tcW w:w="1025" w:type="pct"/>
            <w:vAlign w:val="top"/>
          </w:tcPr>
          <w:p w14:paraId="4E565E99" w14:textId="77777777" w:rsidR="00683455" w:rsidRPr="00ED6862" w:rsidRDefault="00683455"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2025-09-14</w:t>
            </w:r>
          </w:p>
        </w:tc>
        <w:tc>
          <w:tcPr>
            <w:tcW w:w="612" w:type="pct"/>
            <w:vAlign w:val="top"/>
          </w:tcPr>
          <w:p w14:paraId="6277E7F3" w14:textId="77777777" w:rsidR="00683455" w:rsidRPr="00ED6862" w:rsidRDefault="00683455"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TD</w:t>
            </w:r>
          </w:p>
        </w:tc>
        <w:tc>
          <w:tcPr>
            <w:tcW w:w="2890" w:type="pct"/>
            <w:vAlign w:val="top"/>
          </w:tcPr>
          <w:p w14:paraId="2D0A4359" w14:textId="77777777" w:rsidR="00683455" w:rsidRPr="00ED6862" w:rsidRDefault="00683455" w:rsidP="002E5928">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Formatting</w:t>
            </w:r>
          </w:p>
        </w:tc>
      </w:tr>
    </w:tbl>
    <w:p w14:paraId="43425FE8" w14:textId="77777777" w:rsidR="00683455" w:rsidRDefault="00683455" w:rsidP="00683455">
      <w:pPr>
        <w:pStyle w:val="NoSpacing"/>
      </w:pPr>
    </w:p>
    <w:sdt>
      <w:sdtPr>
        <w:rPr>
          <w:rFonts w:asciiTheme="minorHAnsi" w:eastAsiaTheme="minorHAnsi" w:hAnsiTheme="minorHAnsi" w:cstheme="minorBidi"/>
          <w:color w:val="auto"/>
          <w:kern w:val="2"/>
          <w:sz w:val="22"/>
          <w:szCs w:val="22"/>
          <w14:ligatures w14:val="standardContextual"/>
        </w:rPr>
        <w:id w:val="505947344"/>
        <w:docPartObj>
          <w:docPartGallery w:val="Table of Contents"/>
          <w:docPartUnique/>
        </w:docPartObj>
      </w:sdtPr>
      <w:sdtEndPr>
        <w:rPr>
          <w:rFonts w:ascii="Calibri" w:hAnsi="Calibri" w:cs="Calibri"/>
          <w:b/>
          <w:bCs/>
          <w:noProof/>
        </w:rPr>
      </w:sdtEndPr>
      <w:sdtContent>
        <w:p w14:paraId="64662E02" w14:textId="77777777" w:rsidR="00683455" w:rsidRDefault="00683455" w:rsidP="00683455">
          <w:pPr>
            <w:pStyle w:val="TOCHeading"/>
          </w:pPr>
          <w:r>
            <w:t>Contents</w:t>
          </w:r>
        </w:p>
        <w:p w14:paraId="6F9BAAD5" w14:textId="6FDE9EF8" w:rsidR="005670D9" w:rsidRPr="005670D9" w:rsidRDefault="00683455" w:rsidP="005670D9">
          <w:pPr>
            <w:pStyle w:val="TOC1"/>
            <w:rPr>
              <w:rFonts w:ascii="Calibri" w:eastAsiaTheme="minorEastAsia" w:hAnsi="Calibri" w:cs="Calibri"/>
              <w:noProof/>
              <w:kern w:val="2"/>
              <w14:ligatures w14:val="standardContextual"/>
            </w:rPr>
          </w:pPr>
          <w:r w:rsidRPr="00664B6C">
            <w:rPr>
              <w:rFonts w:ascii="Calibri" w:hAnsi="Calibri" w:cs="Calibri"/>
            </w:rPr>
            <w:fldChar w:fldCharType="begin"/>
          </w:r>
          <w:r w:rsidRPr="00664B6C">
            <w:rPr>
              <w:rFonts w:ascii="Calibri" w:hAnsi="Calibri" w:cs="Calibri"/>
            </w:rPr>
            <w:instrText xml:space="preserve"> TOC \o "1-3" \h \z \u </w:instrText>
          </w:r>
          <w:r w:rsidRPr="00664B6C">
            <w:rPr>
              <w:rFonts w:ascii="Calibri" w:hAnsi="Calibri" w:cs="Calibri"/>
            </w:rPr>
            <w:fldChar w:fldCharType="separate"/>
          </w:r>
          <w:hyperlink w:anchor="_Toc208822602" w:history="1">
            <w:r w:rsidR="005670D9" w:rsidRPr="005670D9">
              <w:rPr>
                <w:rStyle w:val="Hyperlink"/>
                <w:rFonts w:ascii="Calibri" w:hAnsi="Calibri" w:cs="Calibri"/>
                <w:noProof/>
              </w:rPr>
              <w:t>Versioning</w:t>
            </w:r>
            <w:r w:rsidR="005670D9" w:rsidRPr="005670D9">
              <w:rPr>
                <w:rFonts w:ascii="Calibri" w:hAnsi="Calibri" w:cs="Calibri"/>
                <w:noProof/>
                <w:webHidden/>
              </w:rPr>
              <w:tab/>
            </w:r>
            <w:r w:rsidR="005670D9" w:rsidRPr="005670D9">
              <w:rPr>
                <w:rFonts w:ascii="Calibri" w:hAnsi="Calibri" w:cs="Calibri"/>
                <w:noProof/>
                <w:webHidden/>
              </w:rPr>
              <w:fldChar w:fldCharType="begin"/>
            </w:r>
            <w:r w:rsidR="005670D9" w:rsidRPr="005670D9">
              <w:rPr>
                <w:rFonts w:ascii="Calibri" w:hAnsi="Calibri" w:cs="Calibri"/>
                <w:noProof/>
                <w:webHidden/>
              </w:rPr>
              <w:instrText xml:space="preserve"> PAGEREF _Toc208822602 \h </w:instrText>
            </w:r>
            <w:r w:rsidR="005670D9" w:rsidRPr="005670D9">
              <w:rPr>
                <w:rFonts w:ascii="Calibri" w:hAnsi="Calibri" w:cs="Calibri"/>
                <w:noProof/>
                <w:webHidden/>
              </w:rPr>
            </w:r>
            <w:r w:rsidR="005670D9" w:rsidRPr="005670D9">
              <w:rPr>
                <w:rFonts w:ascii="Calibri" w:hAnsi="Calibri" w:cs="Calibri"/>
                <w:noProof/>
                <w:webHidden/>
              </w:rPr>
              <w:fldChar w:fldCharType="separate"/>
            </w:r>
            <w:r w:rsidR="005670D9" w:rsidRPr="005670D9">
              <w:rPr>
                <w:rFonts w:ascii="Calibri" w:hAnsi="Calibri" w:cs="Calibri"/>
                <w:noProof/>
                <w:webHidden/>
              </w:rPr>
              <w:t>2</w:t>
            </w:r>
            <w:r w:rsidR="005670D9" w:rsidRPr="005670D9">
              <w:rPr>
                <w:rFonts w:ascii="Calibri" w:hAnsi="Calibri" w:cs="Calibri"/>
                <w:noProof/>
                <w:webHidden/>
              </w:rPr>
              <w:fldChar w:fldCharType="end"/>
            </w:r>
          </w:hyperlink>
        </w:p>
        <w:p w14:paraId="41F59F1F" w14:textId="7E6E22D7" w:rsidR="005670D9" w:rsidRPr="005670D9" w:rsidRDefault="005670D9" w:rsidP="005670D9">
          <w:pPr>
            <w:pStyle w:val="TOC2"/>
            <w:rPr>
              <w:rFonts w:ascii="Calibri" w:eastAsiaTheme="minorEastAsia" w:hAnsi="Calibri" w:cs="Calibri"/>
              <w:noProof/>
              <w:kern w:val="2"/>
              <w14:ligatures w14:val="standardContextual"/>
            </w:rPr>
          </w:pPr>
          <w:hyperlink w:anchor="_Toc208822603" w:history="1">
            <w:r w:rsidRPr="005670D9">
              <w:rPr>
                <w:rStyle w:val="Hyperlink"/>
                <w:rFonts w:ascii="Calibri" w:hAnsi="Calibri" w:cs="Calibri"/>
                <w:noProof/>
              </w:rPr>
              <w:t>Purpose</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_Toc208822603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4</w:t>
            </w:r>
            <w:r w:rsidRPr="005670D9">
              <w:rPr>
                <w:rFonts w:ascii="Calibri" w:hAnsi="Calibri" w:cs="Calibri"/>
                <w:noProof/>
                <w:webHidden/>
              </w:rPr>
              <w:fldChar w:fldCharType="end"/>
            </w:r>
          </w:hyperlink>
        </w:p>
        <w:p w14:paraId="06E637EA" w14:textId="207768E6" w:rsidR="005670D9" w:rsidRPr="005670D9" w:rsidRDefault="005670D9" w:rsidP="005670D9">
          <w:pPr>
            <w:pStyle w:val="TOC2"/>
            <w:rPr>
              <w:rFonts w:ascii="Calibri" w:eastAsiaTheme="minorEastAsia" w:hAnsi="Calibri" w:cs="Calibri"/>
              <w:noProof/>
              <w:kern w:val="2"/>
              <w14:ligatures w14:val="standardContextual"/>
            </w:rPr>
          </w:pPr>
          <w:hyperlink w:anchor="_Toc208822604" w:history="1">
            <w:r w:rsidRPr="005670D9">
              <w:rPr>
                <w:rStyle w:val="Hyperlink"/>
                <w:rFonts w:ascii="Calibri" w:hAnsi="Calibri" w:cs="Calibri"/>
                <w:noProof/>
              </w:rPr>
              <w:t>1.0 Introduction and Purpose</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_Toc208822604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4</w:t>
            </w:r>
            <w:r w:rsidRPr="005670D9">
              <w:rPr>
                <w:rFonts w:ascii="Calibri" w:hAnsi="Calibri" w:cs="Calibri"/>
                <w:noProof/>
                <w:webHidden/>
              </w:rPr>
              <w:fldChar w:fldCharType="end"/>
            </w:r>
          </w:hyperlink>
        </w:p>
        <w:p w14:paraId="48FBC2B5" w14:textId="38BC6FD9"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05" w:history="1">
            <w:r w:rsidRPr="005670D9">
              <w:rPr>
                <w:rStyle w:val="Hyperlink"/>
                <w:rFonts w:ascii="Calibri" w:hAnsi="Calibri" w:cs="Calibri"/>
                <w:noProof/>
                <w:sz w:val="22"/>
                <w:szCs w:val="22"/>
              </w:rPr>
              <w:t>1.1 Policy Statement</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_Toc208822605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4</w:t>
            </w:r>
            <w:r w:rsidRPr="005670D9">
              <w:rPr>
                <w:rFonts w:ascii="Calibri" w:hAnsi="Calibri" w:cs="Calibri"/>
                <w:noProof/>
                <w:webHidden/>
                <w:sz w:val="22"/>
                <w:szCs w:val="22"/>
              </w:rPr>
              <w:fldChar w:fldCharType="end"/>
            </w:r>
          </w:hyperlink>
        </w:p>
        <w:p w14:paraId="7D696427" w14:textId="2ECCE411"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06" w:history="1">
            <w:r w:rsidRPr="005670D9">
              <w:rPr>
                <w:rStyle w:val="Hyperlink"/>
                <w:rFonts w:ascii="Calibri" w:hAnsi="Calibri" w:cs="Calibri"/>
                <w:noProof/>
                <w:sz w:val="22"/>
                <w:szCs w:val="22"/>
              </w:rPr>
              <w:t>1.2 Guiding Philosophy</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_Toc208822606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4</w:t>
            </w:r>
            <w:r w:rsidRPr="005670D9">
              <w:rPr>
                <w:rFonts w:ascii="Calibri" w:hAnsi="Calibri" w:cs="Calibri"/>
                <w:noProof/>
                <w:webHidden/>
                <w:sz w:val="22"/>
                <w:szCs w:val="22"/>
              </w:rPr>
              <w:fldChar w:fldCharType="end"/>
            </w:r>
          </w:hyperlink>
        </w:p>
        <w:p w14:paraId="4F343A88" w14:textId="560B337F"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07" w:history="1">
            <w:r w:rsidRPr="005670D9">
              <w:rPr>
                <w:rStyle w:val="Hyperlink"/>
                <w:rFonts w:ascii="Calibri" w:hAnsi="Calibri" w:cs="Calibri"/>
                <w:noProof/>
                <w:sz w:val="22"/>
                <w:szCs w:val="22"/>
              </w:rPr>
              <w:t>1.3 Acknowledgment of Sovereignty</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_Toc208822607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4</w:t>
            </w:r>
            <w:r w:rsidRPr="005670D9">
              <w:rPr>
                <w:rFonts w:ascii="Calibri" w:hAnsi="Calibri" w:cs="Calibri"/>
                <w:noProof/>
                <w:webHidden/>
                <w:sz w:val="22"/>
                <w:szCs w:val="22"/>
              </w:rPr>
              <w:fldChar w:fldCharType="end"/>
            </w:r>
          </w:hyperlink>
        </w:p>
        <w:p w14:paraId="21B651BE" w14:textId="14E94A9A" w:rsidR="005670D9" w:rsidRPr="005670D9" w:rsidRDefault="005670D9" w:rsidP="005670D9">
          <w:pPr>
            <w:pStyle w:val="TOC2"/>
            <w:rPr>
              <w:rFonts w:ascii="Calibri" w:eastAsiaTheme="minorEastAsia" w:hAnsi="Calibri" w:cs="Calibri"/>
              <w:noProof/>
              <w:kern w:val="2"/>
              <w14:ligatures w14:val="standardContextual"/>
            </w:rPr>
          </w:pPr>
          <w:hyperlink w:anchor="_Toc208822608" w:history="1">
            <w:r w:rsidRPr="005670D9">
              <w:rPr>
                <w:rStyle w:val="Hyperlink"/>
                <w:rFonts w:ascii="Calibri" w:hAnsi="Calibri" w:cs="Calibri"/>
                <w:noProof/>
              </w:rPr>
              <w:t>2.0 Foundational Principles: Upholding Sovereignty in the Age of AI</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_Toc208822608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4</w:t>
            </w:r>
            <w:r w:rsidRPr="005670D9">
              <w:rPr>
                <w:rFonts w:ascii="Calibri" w:hAnsi="Calibri" w:cs="Calibri"/>
                <w:noProof/>
                <w:webHidden/>
              </w:rPr>
              <w:fldChar w:fldCharType="end"/>
            </w:r>
          </w:hyperlink>
        </w:p>
        <w:p w14:paraId="6A6AB3CC" w14:textId="266763E5"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09" w:history="1">
            <w:r w:rsidRPr="005670D9">
              <w:rPr>
                <w:rStyle w:val="Hyperlink"/>
                <w:rFonts w:ascii="Calibri" w:hAnsi="Calibri" w:cs="Calibri"/>
                <w:noProof/>
                <w:sz w:val="22"/>
                <w:szCs w:val="22"/>
              </w:rPr>
              <w:t>2.1 The Primacy of Indigenous Data Sovereignty</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_Toc208822609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4</w:t>
            </w:r>
            <w:r w:rsidRPr="005670D9">
              <w:rPr>
                <w:rFonts w:ascii="Calibri" w:hAnsi="Calibri" w:cs="Calibri"/>
                <w:noProof/>
                <w:webHidden/>
                <w:sz w:val="22"/>
                <w:szCs w:val="22"/>
              </w:rPr>
              <w:fldChar w:fldCharType="end"/>
            </w:r>
          </w:hyperlink>
        </w:p>
        <w:p w14:paraId="1A8087C8" w14:textId="52525009"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0" w:history="1">
            <w:r w:rsidRPr="005670D9">
              <w:rPr>
                <w:rStyle w:val="Hyperlink"/>
                <w:rFonts w:ascii="Calibri" w:hAnsi="Calibri" w:cs="Calibri"/>
                <w:noProof/>
                <w:sz w:val="22"/>
                <w:szCs w:val="22"/>
              </w:rPr>
              <w:t>2.2 Integration of the OCAP® Principles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_Toc208822610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5</w:t>
            </w:r>
            <w:r w:rsidRPr="005670D9">
              <w:rPr>
                <w:rFonts w:ascii="Calibri" w:hAnsi="Calibri" w:cs="Calibri"/>
                <w:noProof/>
                <w:webHidden/>
                <w:sz w:val="22"/>
                <w:szCs w:val="22"/>
              </w:rPr>
              <w:fldChar w:fldCharType="end"/>
            </w:r>
          </w:hyperlink>
        </w:p>
        <w:p w14:paraId="4FE5C1FF" w14:textId="254DDA63"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1" w:history="1">
            <w:r w:rsidRPr="005670D9">
              <w:rPr>
                <w:rStyle w:val="Hyperlink"/>
                <w:rFonts w:ascii="Calibri" w:hAnsi="Calibri" w:cs="Calibri"/>
                <w:noProof/>
                <w:sz w:val="22"/>
                <w:szCs w:val="22"/>
              </w:rPr>
              <w:t>2.3 Integration of the CARE Principles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_Toc208822611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5</w:t>
            </w:r>
            <w:r w:rsidRPr="005670D9">
              <w:rPr>
                <w:rFonts w:ascii="Calibri" w:hAnsi="Calibri" w:cs="Calibri"/>
                <w:noProof/>
                <w:webHidden/>
                <w:sz w:val="22"/>
                <w:szCs w:val="22"/>
              </w:rPr>
              <w:fldChar w:fldCharType="end"/>
            </w:r>
          </w:hyperlink>
        </w:p>
        <w:p w14:paraId="3C503246" w14:textId="74AC0E0A" w:rsidR="005670D9" w:rsidRPr="005670D9" w:rsidRDefault="005670D9" w:rsidP="005670D9">
          <w:pPr>
            <w:pStyle w:val="TOC2"/>
            <w:rPr>
              <w:rFonts w:ascii="Calibri" w:eastAsiaTheme="minorEastAsia" w:hAnsi="Calibri" w:cs="Calibri"/>
              <w:noProof/>
              <w:kern w:val="2"/>
              <w14:ligatures w14:val="standardContextual"/>
            </w:rPr>
          </w:pPr>
          <w:hyperlink w:anchor="_Toc208822612" w:history="1">
            <w:r w:rsidRPr="005670D9">
              <w:rPr>
                <w:rStyle w:val="Hyperlink"/>
                <w:rFonts w:ascii="Calibri" w:hAnsi="Calibri" w:cs="Calibri"/>
                <w:noProof/>
              </w:rPr>
              <w:t>3.0 Scope and Applicability</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_Toc208822612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6</w:t>
            </w:r>
            <w:r w:rsidRPr="005670D9">
              <w:rPr>
                <w:rFonts w:ascii="Calibri" w:hAnsi="Calibri" w:cs="Calibri"/>
                <w:noProof/>
                <w:webHidden/>
              </w:rPr>
              <w:fldChar w:fldCharType="end"/>
            </w:r>
          </w:hyperlink>
        </w:p>
        <w:p w14:paraId="6BA56AB7" w14:textId="275F3F98"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3" w:history="1">
            <w:r w:rsidRPr="005670D9">
              <w:rPr>
                <w:rStyle w:val="Hyperlink"/>
                <w:rFonts w:ascii="Calibri" w:hAnsi="Calibri" w:cs="Calibri"/>
                <w:noProof/>
                <w:sz w:val="22"/>
                <w:szCs w:val="22"/>
              </w:rPr>
              <w:t>3.1 Persons Covered</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_Toc208822613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6</w:t>
            </w:r>
            <w:r w:rsidRPr="005670D9">
              <w:rPr>
                <w:rFonts w:ascii="Calibri" w:hAnsi="Calibri" w:cs="Calibri"/>
                <w:noProof/>
                <w:webHidden/>
                <w:sz w:val="22"/>
                <w:szCs w:val="22"/>
              </w:rPr>
              <w:fldChar w:fldCharType="end"/>
            </w:r>
          </w:hyperlink>
        </w:p>
        <w:p w14:paraId="43FBCCAA" w14:textId="7C0FB22E"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4" w:history="1">
            <w:r w:rsidRPr="005670D9">
              <w:rPr>
                <w:rStyle w:val="Hyperlink"/>
                <w:rFonts w:ascii="Calibri" w:hAnsi="Calibri" w:cs="Calibri"/>
                <w:noProof/>
                <w:sz w:val="22"/>
                <w:szCs w:val="22"/>
              </w:rPr>
              <w:t>3.2 Technologies Covered</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_Toc208822614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6</w:t>
            </w:r>
            <w:r w:rsidRPr="005670D9">
              <w:rPr>
                <w:rFonts w:ascii="Calibri" w:hAnsi="Calibri" w:cs="Calibri"/>
                <w:noProof/>
                <w:webHidden/>
                <w:sz w:val="22"/>
                <w:szCs w:val="22"/>
              </w:rPr>
              <w:fldChar w:fldCharType="end"/>
            </w:r>
          </w:hyperlink>
        </w:p>
        <w:p w14:paraId="2DE77C09" w14:textId="310FE36A"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5" w:history="1">
            <w:r w:rsidRPr="005670D9">
              <w:rPr>
                <w:rStyle w:val="Hyperlink"/>
                <w:rFonts w:ascii="Calibri" w:hAnsi="Calibri" w:cs="Calibri"/>
                <w:noProof/>
                <w:sz w:val="22"/>
                <w:szCs w:val="22"/>
              </w:rPr>
              <w:t>3.3 Data Covered</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_Toc208822615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7</w:t>
            </w:r>
            <w:r w:rsidRPr="005670D9">
              <w:rPr>
                <w:rFonts w:ascii="Calibri" w:hAnsi="Calibri" w:cs="Calibri"/>
                <w:noProof/>
                <w:webHidden/>
                <w:sz w:val="22"/>
                <w:szCs w:val="22"/>
              </w:rPr>
              <w:fldChar w:fldCharType="end"/>
            </w:r>
          </w:hyperlink>
        </w:p>
        <w:p w14:paraId="248E3CCA" w14:textId="54F5E0D7" w:rsidR="005670D9" w:rsidRPr="005670D9" w:rsidRDefault="005670D9" w:rsidP="005670D9">
          <w:pPr>
            <w:pStyle w:val="TOC2"/>
            <w:rPr>
              <w:rFonts w:ascii="Calibri" w:eastAsiaTheme="minorEastAsia" w:hAnsi="Calibri" w:cs="Calibri"/>
              <w:noProof/>
              <w:kern w:val="2"/>
              <w14:ligatures w14:val="standardContextual"/>
            </w:rPr>
          </w:pPr>
          <w:hyperlink w:anchor="_Toc208822616" w:history="1">
            <w:r w:rsidRPr="005670D9">
              <w:rPr>
                <w:rStyle w:val="Hyperlink"/>
                <w:rFonts w:ascii="Calibri" w:hAnsi="Calibri" w:cs="Calibri"/>
                <w:noProof/>
              </w:rPr>
              <w:t>4.0 General Rules for All Users of AI Systems</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_Toc208822616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7</w:t>
            </w:r>
            <w:r w:rsidRPr="005670D9">
              <w:rPr>
                <w:rFonts w:ascii="Calibri" w:hAnsi="Calibri" w:cs="Calibri"/>
                <w:noProof/>
                <w:webHidden/>
              </w:rPr>
              <w:fldChar w:fldCharType="end"/>
            </w:r>
          </w:hyperlink>
        </w:p>
        <w:p w14:paraId="7FBECAD9" w14:textId="0A29588F"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7" w:history="1">
            <w:r w:rsidRPr="005670D9">
              <w:rPr>
                <w:rStyle w:val="Hyperlink"/>
                <w:rFonts w:ascii="Calibri" w:hAnsi="Calibri" w:cs="Calibri"/>
                <w:noProof/>
                <w:sz w:val="22"/>
                <w:szCs w:val="22"/>
              </w:rPr>
              <w:t>4.1 Authorized Systems and Access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_Toc208822617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7</w:t>
            </w:r>
            <w:r w:rsidRPr="005670D9">
              <w:rPr>
                <w:rFonts w:ascii="Calibri" w:hAnsi="Calibri" w:cs="Calibri"/>
                <w:noProof/>
                <w:webHidden/>
                <w:sz w:val="22"/>
                <w:szCs w:val="22"/>
              </w:rPr>
              <w:fldChar w:fldCharType="end"/>
            </w:r>
          </w:hyperlink>
        </w:p>
        <w:p w14:paraId="5578F33F" w14:textId="304A3719"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8" w:history="1">
            <w:r w:rsidRPr="005670D9">
              <w:rPr>
                <w:rStyle w:val="Hyperlink"/>
                <w:rFonts w:ascii="Calibri" w:hAnsi="Calibri" w:cs="Calibri"/>
                <w:noProof/>
                <w:sz w:val="22"/>
                <w:szCs w:val="22"/>
              </w:rPr>
              <w:t>4.2 Data Use and Protection in AI Systems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_Toc208822618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7</w:t>
            </w:r>
            <w:r w:rsidRPr="005670D9">
              <w:rPr>
                <w:rFonts w:ascii="Calibri" w:hAnsi="Calibri" w:cs="Calibri"/>
                <w:noProof/>
                <w:webHidden/>
                <w:sz w:val="22"/>
                <w:szCs w:val="22"/>
              </w:rPr>
              <w:fldChar w:fldCharType="end"/>
            </w:r>
          </w:hyperlink>
        </w:p>
        <w:p w14:paraId="1C18A103" w14:textId="22E72A95"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19" w:history="1">
            <w:r w:rsidRPr="005670D9">
              <w:rPr>
                <w:rStyle w:val="Hyperlink"/>
                <w:rFonts w:ascii="Calibri" w:hAnsi="Calibri" w:cs="Calibri"/>
                <w:noProof/>
                <w:sz w:val="22"/>
                <w:szCs w:val="22"/>
              </w:rPr>
              <w:t>4.2.1 Data Classification and Permitted AI Use Guide</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_Toc208822619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8</w:t>
            </w:r>
            <w:r w:rsidRPr="005670D9">
              <w:rPr>
                <w:rFonts w:ascii="Calibri" w:hAnsi="Calibri" w:cs="Calibri"/>
                <w:noProof/>
                <w:webHidden/>
                <w:sz w:val="22"/>
                <w:szCs w:val="22"/>
              </w:rPr>
              <w:fldChar w:fldCharType="end"/>
            </w:r>
          </w:hyperlink>
        </w:p>
        <w:p w14:paraId="77E5C3DB" w14:textId="15B39F95"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0" w:history="1">
            <w:r w:rsidRPr="005670D9">
              <w:rPr>
                <w:rStyle w:val="Hyperlink"/>
                <w:rFonts w:ascii="Calibri" w:hAnsi="Calibri" w:cs="Calibri"/>
                <w:noProof/>
                <w:sz w:val="22"/>
                <w:szCs w:val="22"/>
              </w:rPr>
              <w:t>4.3 Prohibited Uses of AI</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_Toc208822620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8</w:t>
            </w:r>
            <w:r w:rsidRPr="005670D9">
              <w:rPr>
                <w:rFonts w:ascii="Calibri" w:hAnsi="Calibri" w:cs="Calibri"/>
                <w:noProof/>
                <w:webHidden/>
                <w:sz w:val="22"/>
                <w:szCs w:val="22"/>
              </w:rPr>
              <w:fldChar w:fldCharType="end"/>
            </w:r>
          </w:hyperlink>
        </w:p>
        <w:p w14:paraId="4497AB9C" w14:textId="710D7115"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1" w:history="1">
            <w:r w:rsidRPr="005670D9">
              <w:rPr>
                <w:rStyle w:val="Hyperlink"/>
                <w:rFonts w:ascii="Calibri" w:hAnsi="Calibri" w:cs="Calibri"/>
                <w:noProof/>
                <w:sz w:val="22"/>
                <w:szCs w:val="22"/>
              </w:rPr>
              <w:t>4.4 Use of Public and Third-Party AI Tools ("Shadow AI")</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_Toc208822621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9</w:t>
            </w:r>
            <w:r w:rsidRPr="005670D9">
              <w:rPr>
                <w:rFonts w:ascii="Calibri" w:hAnsi="Calibri" w:cs="Calibri"/>
                <w:noProof/>
                <w:webHidden/>
                <w:sz w:val="22"/>
                <w:szCs w:val="22"/>
              </w:rPr>
              <w:fldChar w:fldCharType="end"/>
            </w:r>
          </w:hyperlink>
        </w:p>
        <w:p w14:paraId="099F4DAD" w14:textId="5204C3D6"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2" w:history="1">
            <w:r w:rsidRPr="005670D9">
              <w:rPr>
                <w:rStyle w:val="Hyperlink"/>
                <w:rFonts w:ascii="Calibri" w:hAnsi="Calibri" w:cs="Calibri"/>
                <w:noProof/>
                <w:sz w:val="22"/>
                <w:szCs w:val="22"/>
              </w:rPr>
              <w:t>4.5 Verification, Accuracy, and Avoiding Overreliance</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_Toc208822622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9</w:t>
            </w:r>
            <w:r w:rsidRPr="005670D9">
              <w:rPr>
                <w:rFonts w:ascii="Calibri" w:hAnsi="Calibri" w:cs="Calibri"/>
                <w:noProof/>
                <w:webHidden/>
                <w:sz w:val="22"/>
                <w:szCs w:val="22"/>
              </w:rPr>
              <w:fldChar w:fldCharType="end"/>
            </w:r>
          </w:hyperlink>
        </w:p>
        <w:p w14:paraId="3F739CB2" w14:textId="0C247EA4"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3" w:history="1">
            <w:r w:rsidRPr="005670D9">
              <w:rPr>
                <w:rStyle w:val="Hyperlink"/>
                <w:rFonts w:ascii="Calibri" w:hAnsi="Calibri" w:cs="Calibri"/>
                <w:noProof/>
                <w:sz w:val="22"/>
                <w:szCs w:val="22"/>
              </w:rPr>
              <w:t>4.6 Security Responsibilities and Incident Reporting</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_Toc208822623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9</w:t>
            </w:r>
            <w:r w:rsidRPr="005670D9">
              <w:rPr>
                <w:rFonts w:ascii="Calibri" w:hAnsi="Calibri" w:cs="Calibri"/>
                <w:noProof/>
                <w:webHidden/>
                <w:sz w:val="22"/>
                <w:szCs w:val="22"/>
              </w:rPr>
              <w:fldChar w:fldCharType="end"/>
            </w:r>
          </w:hyperlink>
        </w:p>
        <w:p w14:paraId="514F3101" w14:textId="7BF04255"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4" w:history="1">
            <w:r w:rsidRPr="005670D9">
              <w:rPr>
                <w:rStyle w:val="Hyperlink"/>
                <w:rFonts w:ascii="Calibri" w:hAnsi="Calibri" w:cs="Calibri"/>
                <w:noProof/>
                <w:sz w:val="22"/>
                <w:szCs w:val="22"/>
              </w:rPr>
              <w:t>4.7 User Accountability and Monitoring</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_Toc208822624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10</w:t>
            </w:r>
            <w:r w:rsidRPr="005670D9">
              <w:rPr>
                <w:rFonts w:ascii="Calibri" w:hAnsi="Calibri" w:cs="Calibri"/>
                <w:noProof/>
                <w:webHidden/>
                <w:sz w:val="22"/>
                <w:szCs w:val="22"/>
              </w:rPr>
              <w:fldChar w:fldCharType="end"/>
            </w:r>
          </w:hyperlink>
        </w:p>
        <w:p w14:paraId="6617D31F" w14:textId="32BBBF0D" w:rsidR="005670D9" w:rsidRPr="005670D9" w:rsidRDefault="005670D9" w:rsidP="005670D9">
          <w:pPr>
            <w:pStyle w:val="TOC2"/>
            <w:rPr>
              <w:rFonts w:ascii="Calibri" w:eastAsiaTheme="minorEastAsia" w:hAnsi="Calibri" w:cs="Calibri"/>
              <w:noProof/>
              <w:kern w:val="2"/>
              <w14:ligatures w14:val="standardContextual"/>
            </w:rPr>
          </w:pPr>
          <w:hyperlink w:anchor="_Toc208822625" w:history="1">
            <w:r w:rsidRPr="005670D9">
              <w:rPr>
                <w:rStyle w:val="Hyperlink"/>
                <w:rFonts w:ascii="Calibri" w:hAnsi="Calibri" w:cs="Calibri"/>
                <w:noProof/>
              </w:rPr>
              <w:t>5.0 Advanced Governance and Technical Controls</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_Toc208822625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10</w:t>
            </w:r>
            <w:r w:rsidRPr="005670D9">
              <w:rPr>
                <w:rFonts w:ascii="Calibri" w:hAnsi="Calibri" w:cs="Calibri"/>
                <w:noProof/>
                <w:webHidden/>
              </w:rPr>
              <w:fldChar w:fldCharType="end"/>
            </w:r>
          </w:hyperlink>
        </w:p>
        <w:p w14:paraId="3B0B2B59" w14:textId="1278ED08"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6" w:history="1">
            <w:r w:rsidRPr="005670D9">
              <w:rPr>
                <w:rStyle w:val="Hyperlink"/>
                <w:rFonts w:ascii="Calibri" w:hAnsi="Calibri" w:cs="Calibri"/>
                <w:noProof/>
                <w:sz w:val="22"/>
                <w:szCs w:val="22"/>
              </w:rPr>
              <w:t>5.1 Data Preparation and Enrichment for AI Consumption</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_Toc208822626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10</w:t>
            </w:r>
            <w:r w:rsidRPr="005670D9">
              <w:rPr>
                <w:rFonts w:ascii="Calibri" w:hAnsi="Calibri" w:cs="Calibri"/>
                <w:noProof/>
                <w:webHidden/>
                <w:sz w:val="22"/>
                <w:szCs w:val="22"/>
              </w:rPr>
              <w:fldChar w:fldCharType="end"/>
            </w:r>
          </w:hyperlink>
        </w:p>
        <w:p w14:paraId="368ABC11" w14:textId="1DE319FC"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7" w:history="1">
            <w:r w:rsidRPr="005670D9">
              <w:rPr>
                <w:rStyle w:val="Hyperlink"/>
                <w:rFonts w:ascii="Calibri" w:hAnsi="Calibri" w:cs="Calibri"/>
                <w:noProof/>
                <w:sz w:val="22"/>
                <w:szCs w:val="22"/>
              </w:rPr>
              <w:t>5.2 Compliance Monitoring and Auditing of AI Outputs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_Toc208822627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10</w:t>
            </w:r>
            <w:r w:rsidRPr="005670D9">
              <w:rPr>
                <w:rFonts w:ascii="Calibri" w:hAnsi="Calibri" w:cs="Calibri"/>
                <w:noProof/>
                <w:webHidden/>
                <w:sz w:val="22"/>
                <w:szCs w:val="22"/>
              </w:rPr>
              <w:fldChar w:fldCharType="end"/>
            </w:r>
          </w:hyperlink>
        </w:p>
        <w:p w14:paraId="035D9DA3" w14:textId="46C43AD2"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28" w:history="1">
            <w:r w:rsidRPr="005670D9">
              <w:rPr>
                <w:rStyle w:val="Hyperlink"/>
                <w:rFonts w:ascii="Calibri" w:hAnsi="Calibri" w:cs="Calibri"/>
                <w:noProof/>
                <w:sz w:val="22"/>
                <w:szCs w:val="22"/>
              </w:rPr>
              <w:t>5.3 Governance of Third-Party and "Black Box" AI Systems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_Toc208822628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11</w:t>
            </w:r>
            <w:r w:rsidRPr="005670D9">
              <w:rPr>
                <w:rFonts w:ascii="Calibri" w:hAnsi="Calibri" w:cs="Calibri"/>
                <w:noProof/>
                <w:webHidden/>
                <w:sz w:val="22"/>
                <w:szCs w:val="22"/>
              </w:rPr>
              <w:fldChar w:fldCharType="end"/>
            </w:r>
          </w:hyperlink>
        </w:p>
        <w:p w14:paraId="3975384D" w14:textId="4104D123" w:rsidR="005670D9" w:rsidRPr="005670D9" w:rsidRDefault="005670D9" w:rsidP="005670D9">
          <w:pPr>
            <w:pStyle w:val="TOC2"/>
            <w:rPr>
              <w:rFonts w:ascii="Calibri" w:eastAsiaTheme="minorEastAsia" w:hAnsi="Calibri" w:cs="Calibri"/>
              <w:noProof/>
              <w:kern w:val="2"/>
              <w14:ligatures w14:val="standardContextual"/>
            </w:rPr>
          </w:pPr>
          <w:hyperlink w:anchor="_Toc208822629" w:history="1">
            <w:r w:rsidRPr="005670D9">
              <w:rPr>
                <w:rStyle w:val="Hyperlink"/>
                <w:rFonts w:ascii="Calibri" w:hAnsi="Calibri" w:cs="Calibri"/>
                <w:noProof/>
              </w:rPr>
              <w:t>6.0 Sector-Specific Policies and Procedures</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_Toc208822629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12</w:t>
            </w:r>
            <w:r w:rsidRPr="005670D9">
              <w:rPr>
                <w:rFonts w:ascii="Calibri" w:hAnsi="Calibri" w:cs="Calibri"/>
                <w:noProof/>
                <w:webHidden/>
              </w:rPr>
              <w:fldChar w:fldCharType="end"/>
            </w:r>
          </w:hyperlink>
        </w:p>
        <w:p w14:paraId="60FDC3C1" w14:textId="2B3A202C"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0" w:history="1">
            <w:r w:rsidRPr="005670D9">
              <w:rPr>
                <w:rStyle w:val="Hyperlink"/>
                <w:rFonts w:ascii="Calibri" w:hAnsi="Calibri" w:cs="Calibri"/>
                <w:noProof/>
                <w:sz w:val="22"/>
                <w:szCs w:val="22"/>
              </w:rPr>
              <w:t>6.1 Tribal Administration</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_Toc208822630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12</w:t>
            </w:r>
            <w:r w:rsidRPr="005670D9">
              <w:rPr>
                <w:rFonts w:ascii="Calibri" w:hAnsi="Calibri" w:cs="Calibri"/>
                <w:noProof/>
                <w:webHidden/>
                <w:sz w:val="22"/>
                <w:szCs w:val="22"/>
              </w:rPr>
              <w:fldChar w:fldCharType="end"/>
            </w:r>
          </w:hyperlink>
        </w:p>
        <w:p w14:paraId="024B9E88" w14:textId="0C06B731"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1" w:history="1">
            <w:r w:rsidRPr="005670D9">
              <w:rPr>
                <w:rStyle w:val="Hyperlink"/>
                <w:rFonts w:ascii="Calibri" w:hAnsi="Calibri" w:cs="Calibri"/>
                <w:noProof/>
                <w:sz w:val="22"/>
                <w:szCs w:val="22"/>
              </w:rPr>
              <w:t>6.1.1 Use in Member Services and Governance</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_Toc208822631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12</w:t>
            </w:r>
            <w:r w:rsidRPr="005670D9">
              <w:rPr>
                <w:rFonts w:ascii="Calibri" w:hAnsi="Calibri" w:cs="Calibri"/>
                <w:noProof/>
                <w:webHidden/>
                <w:sz w:val="22"/>
                <w:szCs w:val="22"/>
              </w:rPr>
              <w:fldChar w:fldCharType="end"/>
            </w:r>
          </w:hyperlink>
        </w:p>
        <w:p w14:paraId="2A0D6B99" w14:textId="5D1F83E8"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2" w:history="1">
            <w:r w:rsidRPr="005670D9">
              <w:rPr>
                <w:rStyle w:val="Hyperlink"/>
                <w:rFonts w:ascii="Calibri" w:hAnsi="Calibri" w:cs="Calibri"/>
                <w:noProof/>
                <w:sz w:val="22"/>
                <w:szCs w:val="22"/>
              </w:rPr>
              <w:t>6.1.2 Grant Management and Inter-Governmental Affairs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_Toc208822632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13</w:t>
            </w:r>
            <w:r w:rsidRPr="005670D9">
              <w:rPr>
                <w:rFonts w:ascii="Calibri" w:hAnsi="Calibri" w:cs="Calibri"/>
                <w:noProof/>
                <w:webHidden/>
                <w:sz w:val="22"/>
                <w:szCs w:val="22"/>
              </w:rPr>
              <w:fldChar w:fldCharType="end"/>
            </w:r>
          </w:hyperlink>
        </w:p>
        <w:p w14:paraId="5FE59C28" w14:textId="2FC48434"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3" w:history="1">
            <w:r w:rsidRPr="005670D9">
              <w:rPr>
                <w:rStyle w:val="Hyperlink"/>
                <w:rFonts w:ascii="Calibri" w:hAnsi="Calibri" w:cs="Calibri"/>
                <w:noProof/>
                <w:sz w:val="22"/>
                <w:szCs w:val="22"/>
              </w:rPr>
              <w:t>6.1.3 Financial and Legal Document Review</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_Toc208822633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13</w:t>
            </w:r>
            <w:r w:rsidRPr="005670D9">
              <w:rPr>
                <w:rFonts w:ascii="Calibri" w:hAnsi="Calibri" w:cs="Calibri"/>
                <w:noProof/>
                <w:webHidden/>
                <w:sz w:val="22"/>
                <w:szCs w:val="22"/>
              </w:rPr>
              <w:fldChar w:fldCharType="end"/>
            </w:r>
          </w:hyperlink>
        </w:p>
        <w:p w14:paraId="06A497A1" w14:textId="14DCCE51"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4" w:history="1">
            <w:r w:rsidRPr="005670D9">
              <w:rPr>
                <w:rStyle w:val="Hyperlink"/>
                <w:rFonts w:ascii="Calibri" w:hAnsi="Calibri" w:cs="Calibri"/>
                <w:noProof/>
                <w:sz w:val="22"/>
                <w:szCs w:val="22"/>
              </w:rPr>
              <w:t>6.2 Tribal Gaming &amp; Entertainment</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_Toc208822634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13</w:t>
            </w:r>
            <w:r w:rsidRPr="005670D9">
              <w:rPr>
                <w:rFonts w:ascii="Calibri" w:hAnsi="Calibri" w:cs="Calibri"/>
                <w:noProof/>
                <w:webHidden/>
                <w:sz w:val="22"/>
                <w:szCs w:val="22"/>
              </w:rPr>
              <w:fldChar w:fldCharType="end"/>
            </w:r>
          </w:hyperlink>
        </w:p>
        <w:p w14:paraId="7359C0F2" w14:textId="39EE7148"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5" w:history="1">
            <w:r w:rsidRPr="005670D9">
              <w:rPr>
                <w:rStyle w:val="Hyperlink"/>
                <w:rFonts w:ascii="Calibri" w:hAnsi="Calibri" w:cs="Calibri"/>
                <w:noProof/>
                <w:sz w:val="22"/>
                <w:szCs w:val="22"/>
              </w:rPr>
              <w:t>6.2.1 Player Data and Analytics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_Toc208822635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13</w:t>
            </w:r>
            <w:r w:rsidRPr="005670D9">
              <w:rPr>
                <w:rFonts w:ascii="Calibri" w:hAnsi="Calibri" w:cs="Calibri"/>
                <w:noProof/>
                <w:webHidden/>
                <w:sz w:val="22"/>
                <w:szCs w:val="22"/>
              </w:rPr>
              <w:fldChar w:fldCharType="end"/>
            </w:r>
          </w:hyperlink>
        </w:p>
        <w:p w14:paraId="554BEC5D" w14:textId="48010AEE"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6" w:history="1">
            <w:r w:rsidRPr="005670D9">
              <w:rPr>
                <w:rStyle w:val="Hyperlink"/>
                <w:rFonts w:ascii="Calibri" w:hAnsi="Calibri" w:cs="Calibri"/>
                <w:noProof/>
                <w:sz w:val="22"/>
                <w:szCs w:val="22"/>
              </w:rPr>
              <w:t>6.2.2 Responsible Gaming and Marketing Ethics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_Toc208822636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14</w:t>
            </w:r>
            <w:r w:rsidRPr="005670D9">
              <w:rPr>
                <w:rFonts w:ascii="Calibri" w:hAnsi="Calibri" w:cs="Calibri"/>
                <w:noProof/>
                <w:webHidden/>
                <w:sz w:val="22"/>
                <w:szCs w:val="22"/>
              </w:rPr>
              <w:fldChar w:fldCharType="end"/>
            </w:r>
          </w:hyperlink>
        </w:p>
        <w:p w14:paraId="5CB78DB7" w14:textId="7523CB61"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7" w:history="1">
            <w:r w:rsidRPr="005670D9">
              <w:rPr>
                <w:rStyle w:val="Hyperlink"/>
                <w:rFonts w:ascii="Calibri" w:hAnsi="Calibri" w:cs="Calibri"/>
                <w:noProof/>
                <w:sz w:val="22"/>
                <w:szCs w:val="22"/>
              </w:rPr>
              <w:t>6.2.3 Security and Fraud Detection</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_Toc208822637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14</w:t>
            </w:r>
            <w:r w:rsidRPr="005670D9">
              <w:rPr>
                <w:rFonts w:ascii="Calibri" w:hAnsi="Calibri" w:cs="Calibri"/>
                <w:noProof/>
                <w:webHidden/>
                <w:sz w:val="22"/>
                <w:szCs w:val="22"/>
              </w:rPr>
              <w:fldChar w:fldCharType="end"/>
            </w:r>
          </w:hyperlink>
        </w:p>
        <w:p w14:paraId="08C48ED5" w14:textId="649372A0"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8" w:history="1">
            <w:r w:rsidRPr="005670D9">
              <w:rPr>
                <w:rStyle w:val="Hyperlink"/>
                <w:rFonts w:ascii="Calibri" w:hAnsi="Calibri" w:cs="Calibri"/>
                <w:noProof/>
                <w:sz w:val="22"/>
                <w:szCs w:val="22"/>
              </w:rPr>
              <w:t>6.3 Tribal Health</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_Toc208822638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15</w:t>
            </w:r>
            <w:r w:rsidRPr="005670D9">
              <w:rPr>
                <w:rFonts w:ascii="Calibri" w:hAnsi="Calibri" w:cs="Calibri"/>
                <w:noProof/>
                <w:webHidden/>
                <w:sz w:val="22"/>
                <w:szCs w:val="22"/>
              </w:rPr>
              <w:fldChar w:fldCharType="end"/>
            </w:r>
          </w:hyperlink>
        </w:p>
        <w:p w14:paraId="77A843B0" w14:textId="51C16828"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39" w:history="1">
            <w:r w:rsidRPr="005670D9">
              <w:rPr>
                <w:rStyle w:val="Hyperlink"/>
                <w:rFonts w:ascii="Calibri" w:hAnsi="Calibri" w:cs="Calibri"/>
                <w:noProof/>
                <w:sz w:val="22"/>
                <w:szCs w:val="22"/>
              </w:rPr>
              <w:t>6.3.1 Strict HIPAA Compliance</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_Toc208822639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15</w:t>
            </w:r>
            <w:r w:rsidRPr="005670D9">
              <w:rPr>
                <w:rFonts w:ascii="Calibri" w:hAnsi="Calibri" w:cs="Calibri"/>
                <w:noProof/>
                <w:webHidden/>
                <w:sz w:val="22"/>
                <w:szCs w:val="22"/>
              </w:rPr>
              <w:fldChar w:fldCharType="end"/>
            </w:r>
          </w:hyperlink>
        </w:p>
        <w:p w14:paraId="0D39ADA1" w14:textId="52974C4D"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40" w:history="1">
            <w:r w:rsidRPr="005670D9">
              <w:rPr>
                <w:rStyle w:val="Hyperlink"/>
                <w:rFonts w:ascii="Calibri" w:hAnsi="Calibri" w:cs="Calibri"/>
                <w:noProof/>
                <w:sz w:val="22"/>
                <w:szCs w:val="22"/>
              </w:rPr>
              <w:t>6.3.2 Protection of Protected Health Information (PHI)</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_Toc208822640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15</w:t>
            </w:r>
            <w:r w:rsidRPr="005670D9">
              <w:rPr>
                <w:rFonts w:ascii="Calibri" w:hAnsi="Calibri" w:cs="Calibri"/>
                <w:noProof/>
                <w:webHidden/>
                <w:sz w:val="22"/>
                <w:szCs w:val="22"/>
              </w:rPr>
              <w:fldChar w:fldCharType="end"/>
            </w:r>
          </w:hyperlink>
        </w:p>
        <w:p w14:paraId="78C6A22C" w14:textId="50BAAA94"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41" w:history="1">
            <w:r w:rsidRPr="005670D9">
              <w:rPr>
                <w:rStyle w:val="Hyperlink"/>
                <w:rFonts w:ascii="Calibri" w:hAnsi="Calibri" w:cs="Calibri"/>
                <w:noProof/>
                <w:sz w:val="22"/>
                <w:szCs w:val="22"/>
              </w:rPr>
              <w:t>6.3.3 Clinical Oversight and Accountability</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_Toc208822641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15</w:t>
            </w:r>
            <w:r w:rsidRPr="005670D9">
              <w:rPr>
                <w:rFonts w:ascii="Calibri" w:hAnsi="Calibri" w:cs="Calibri"/>
                <w:noProof/>
                <w:webHidden/>
                <w:sz w:val="22"/>
                <w:szCs w:val="22"/>
              </w:rPr>
              <w:fldChar w:fldCharType="end"/>
            </w:r>
          </w:hyperlink>
        </w:p>
        <w:p w14:paraId="77486406" w14:textId="3551AA71"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42" w:history="1">
            <w:r w:rsidRPr="005670D9">
              <w:rPr>
                <w:rStyle w:val="Hyperlink"/>
                <w:rFonts w:ascii="Calibri" w:hAnsi="Calibri" w:cs="Calibri"/>
                <w:noProof/>
                <w:sz w:val="22"/>
                <w:szCs w:val="22"/>
              </w:rPr>
              <w:t>6.3.4 Data De-identification and Minimization</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_Toc208822642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16</w:t>
            </w:r>
            <w:r w:rsidRPr="005670D9">
              <w:rPr>
                <w:rFonts w:ascii="Calibri" w:hAnsi="Calibri" w:cs="Calibri"/>
                <w:noProof/>
                <w:webHidden/>
                <w:sz w:val="22"/>
                <w:szCs w:val="22"/>
              </w:rPr>
              <w:fldChar w:fldCharType="end"/>
            </w:r>
          </w:hyperlink>
        </w:p>
        <w:p w14:paraId="2F3225B4" w14:textId="5E2EA00D"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43" w:history="1">
            <w:r w:rsidRPr="005670D9">
              <w:rPr>
                <w:rStyle w:val="Hyperlink"/>
                <w:rFonts w:ascii="Calibri" w:hAnsi="Calibri" w:cs="Calibri"/>
                <w:noProof/>
                <w:sz w:val="22"/>
                <w:szCs w:val="22"/>
              </w:rPr>
              <w:t>6.3.5 Patient Consent and Transparency</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_Toc208822643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16</w:t>
            </w:r>
            <w:r w:rsidRPr="005670D9">
              <w:rPr>
                <w:rFonts w:ascii="Calibri" w:hAnsi="Calibri" w:cs="Calibri"/>
                <w:noProof/>
                <w:webHidden/>
                <w:sz w:val="22"/>
                <w:szCs w:val="22"/>
              </w:rPr>
              <w:fldChar w:fldCharType="end"/>
            </w:r>
          </w:hyperlink>
        </w:p>
        <w:p w14:paraId="31DD370B" w14:textId="621E4F9E" w:rsidR="005670D9" w:rsidRPr="005670D9" w:rsidRDefault="005670D9" w:rsidP="005670D9">
          <w:pPr>
            <w:pStyle w:val="TOC2"/>
            <w:rPr>
              <w:rFonts w:ascii="Calibri" w:eastAsiaTheme="minorEastAsia" w:hAnsi="Calibri" w:cs="Calibri"/>
              <w:noProof/>
              <w:kern w:val="2"/>
              <w14:ligatures w14:val="standardContextual"/>
            </w:rPr>
          </w:pPr>
          <w:hyperlink w:anchor="_Toc208822644" w:history="1">
            <w:r w:rsidRPr="005670D9">
              <w:rPr>
                <w:rStyle w:val="Hyperlink"/>
                <w:rFonts w:ascii="Calibri" w:hAnsi="Calibri" w:cs="Calibri"/>
                <w:noProof/>
              </w:rPr>
              <w:t>7.0 Policy Enforcement</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_Toc208822644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16</w:t>
            </w:r>
            <w:r w:rsidRPr="005670D9">
              <w:rPr>
                <w:rFonts w:ascii="Calibri" w:hAnsi="Calibri" w:cs="Calibri"/>
                <w:noProof/>
                <w:webHidden/>
              </w:rPr>
              <w:fldChar w:fldCharType="end"/>
            </w:r>
          </w:hyperlink>
        </w:p>
        <w:p w14:paraId="0E9573DF" w14:textId="42BCD735"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45" w:history="1">
            <w:r w:rsidRPr="005670D9">
              <w:rPr>
                <w:rStyle w:val="Hyperlink"/>
                <w:rFonts w:ascii="Calibri" w:hAnsi="Calibri" w:cs="Calibri"/>
                <w:noProof/>
                <w:sz w:val="22"/>
                <w:szCs w:val="22"/>
              </w:rPr>
              <w:t>7.1 Responsibility</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_Toc208822645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16</w:t>
            </w:r>
            <w:r w:rsidRPr="005670D9">
              <w:rPr>
                <w:rFonts w:ascii="Calibri" w:hAnsi="Calibri" w:cs="Calibri"/>
                <w:noProof/>
                <w:webHidden/>
                <w:sz w:val="22"/>
                <w:szCs w:val="22"/>
              </w:rPr>
              <w:fldChar w:fldCharType="end"/>
            </w:r>
          </w:hyperlink>
        </w:p>
        <w:p w14:paraId="168AE172" w14:textId="3F6FD308"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46" w:history="1">
            <w:r w:rsidRPr="005670D9">
              <w:rPr>
                <w:rStyle w:val="Hyperlink"/>
                <w:rFonts w:ascii="Calibri" w:hAnsi="Calibri" w:cs="Calibri"/>
                <w:noProof/>
                <w:sz w:val="22"/>
                <w:szCs w:val="22"/>
              </w:rPr>
              <w:t>7.2 Auditing and Monitoring</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_Toc208822646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16</w:t>
            </w:r>
            <w:r w:rsidRPr="005670D9">
              <w:rPr>
                <w:rFonts w:ascii="Calibri" w:hAnsi="Calibri" w:cs="Calibri"/>
                <w:noProof/>
                <w:webHidden/>
                <w:sz w:val="22"/>
                <w:szCs w:val="22"/>
              </w:rPr>
              <w:fldChar w:fldCharType="end"/>
            </w:r>
          </w:hyperlink>
        </w:p>
        <w:p w14:paraId="68F78510" w14:textId="504BF04C" w:rsidR="005670D9" w:rsidRPr="005670D9" w:rsidRDefault="005670D9" w:rsidP="005670D9">
          <w:pPr>
            <w:pStyle w:val="TOC3"/>
            <w:tabs>
              <w:tab w:val="right" w:leader="dot" w:pos="9350"/>
            </w:tabs>
            <w:spacing w:after="50"/>
            <w:rPr>
              <w:rFonts w:ascii="Calibri" w:eastAsiaTheme="minorEastAsia" w:hAnsi="Calibri" w:cs="Calibri"/>
              <w:noProof/>
              <w:sz w:val="22"/>
              <w:szCs w:val="22"/>
            </w:rPr>
          </w:pPr>
          <w:hyperlink w:anchor="_Toc208822647" w:history="1">
            <w:r w:rsidRPr="005670D9">
              <w:rPr>
                <w:rStyle w:val="Hyperlink"/>
                <w:rFonts w:ascii="Calibri" w:hAnsi="Calibri" w:cs="Calibri"/>
                <w:noProof/>
                <w:sz w:val="22"/>
                <w:szCs w:val="22"/>
              </w:rPr>
              <w:t>7.3 Violations</w:t>
            </w:r>
            <w:r w:rsidRPr="005670D9">
              <w:rPr>
                <w:rFonts w:ascii="Calibri" w:hAnsi="Calibri" w:cs="Calibri"/>
                <w:noProof/>
                <w:webHidden/>
                <w:sz w:val="22"/>
                <w:szCs w:val="22"/>
              </w:rPr>
              <w:tab/>
            </w:r>
            <w:r w:rsidRPr="005670D9">
              <w:rPr>
                <w:rFonts w:ascii="Calibri" w:hAnsi="Calibri" w:cs="Calibri"/>
                <w:noProof/>
                <w:webHidden/>
                <w:sz w:val="22"/>
                <w:szCs w:val="22"/>
              </w:rPr>
              <w:fldChar w:fldCharType="begin"/>
            </w:r>
            <w:r w:rsidRPr="005670D9">
              <w:rPr>
                <w:rFonts w:ascii="Calibri" w:hAnsi="Calibri" w:cs="Calibri"/>
                <w:noProof/>
                <w:webHidden/>
                <w:sz w:val="22"/>
                <w:szCs w:val="22"/>
              </w:rPr>
              <w:instrText xml:space="preserve"> PAGEREF _Toc208822647 \h </w:instrText>
            </w:r>
            <w:r w:rsidRPr="005670D9">
              <w:rPr>
                <w:rFonts w:ascii="Calibri" w:hAnsi="Calibri" w:cs="Calibri"/>
                <w:noProof/>
                <w:webHidden/>
                <w:sz w:val="22"/>
                <w:szCs w:val="22"/>
              </w:rPr>
            </w:r>
            <w:r w:rsidRPr="005670D9">
              <w:rPr>
                <w:rFonts w:ascii="Calibri" w:hAnsi="Calibri" w:cs="Calibri"/>
                <w:noProof/>
                <w:webHidden/>
                <w:sz w:val="22"/>
                <w:szCs w:val="22"/>
              </w:rPr>
              <w:fldChar w:fldCharType="separate"/>
            </w:r>
            <w:r w:rsidRPr="005670D9">
              <w:rPr>
                <w:rFonts w:ascii="Calibri" w:hAnsi="Calibri" w:cs="Calibri"/>
                <w:noProof/>
                <w:webHidden/>
                <w:sz w:val="22"/>
                <w:szCs w:val="22"/>
              </w:rPr>
              <w:t>16</w:t>
            </w:r>
            <w:r w:rsidRPr="005670D9">
              <w:rPr>
                <w:rFonts w:ascii="Calibri" w:hAnsi="Calibri" w:cs="Calibri"/>
                <w:noProof/>
                <w:webHidden/>
                <w:sz w:val="22"/>
                <w:szCs w:val="22"/>
              </w:rPr>
              <w:fldChar w:fldCharType="end"/>
            </w:r>
          </w:hyperlink>
        </w:p>
        <w:p w14:paraId="7AB8AEEB" w14:textId="3AE8C27F" w:rsidR="005670D9" w:rsidRPr="005670D9" w:rsidRDefault="005670D9" w:rsidP="005670D9">
          <w:pPr>
            <w:pStyle w:val="TOC2"/>
            <w:rPr>
              <w:rFonts w:ascii="Calibri" w:eastAsiaTheme="minorEastAsia" w:hAnsi="Calibri" w:cs="Calibri"/>
              <w:noProof/>
              <w:kern w:val="2"/>
              <w14:ligatures w14:val="standardContextual"/>
            </w:rPr>
          </w:pPr>
          <w:hyperlink w:anchor="_Toc208822648" w:history="1">
            <w:r w:rsidRPr="005670D9">
              <w:rPr>
                <w:rStyle w:val="Hyperlink"/>
                <w:rFonts w:ascii="Calibri" w:hAnsi="Calibri" w:cs="Calibri"/>
                <w:noProof/>
              </w:rPr>
              <w:t>8.0 Definitions</w:t>
            </w:r>
            <w:r w:rsidRPr="005670D9">
              <w:rPr>
                <w:rFonts w:ascii="Calibri" w:hAnsi="Calibri" w:cs="Calibri"/>
                <w:noProof/>
                <w:webHidden/>
              </w:rPr>
              <w:tab/>
            </w:r>
            <w:r w:rsidRPr="005670D9">
              <w:rPr>
                <w:rFonts w:ascii="Calibri" w:hAnsi="Calibri" w:cs="Calibri"/>
                <w:noProof/>
                <w:webHidden/>
              </w:rPr>
              <w:fldChar w:fldCharType="begin"/>
            </w:r>
            <w:r w:rsidRPr="005670D9">
              <w:rPr>
                <w:rFonts w:ascii="Calibri" w:hAnsi="Calibri" w:cs="Calibri"/>
                <w:noProof/>
                <w:webHidden/>
              </w:rPr>
              <w:instrText xml:space="preserve"> PAGEREF _Toc208822648 \h </w:instrText>
            </w:r>
            <w:r w:rsidRPr="005670D9">
              <w:rPr>
                <w:rFonts w:ascii="Calibri" w:hAnsi="Calibri" w:cs="Calibri"/>
                <w:noProof/>
                <w:webHidden/>
              </w:rPr>
            </w:r>
            <w:r w:rsidRPr="005670D9">
              <w:rPr>
                <w:rFonts w:ascii="Calibri" w:hAnsi="Calibri" w:cs="Calibri"/>
                <w:noProof/>
                <w:webHidden/>
              </w:rPr>
              <w:fldChar w:fldCharType="separate"/>
            </w:r>
            <w:r w:rsidRPr="005670D9">
              <w:rPr>
                <w:rFonts w:ascii="Calibri" w:hAnsi="Calibri" w:cs="Calibri"/>
                <w:noProof/>
                <w:webHidden/>
              </w:rPr>
              <w:t>17</w:t>
            </w:r>
            <w:r w:rsidRPr="005670D9">
              <w:rPr>
                <w:rFonts w:ascii="Calibri" w:hAnsi="Calibri" w:cs="Calibri"/>
                <w:noProof/>
                <w:webHidden/>
              </w:rPr>
              <w:fldChar w:fldCharType="end"/>
            </w:r>
          </w:hyperlink>
        </w:p>
        <w:p w14:paraId="3E798579" w14:textId="1A1B7418" w:rsidR="00683455" w:rsidRPr="00664B6C" w:rsidRDefault="00683455" w:rsidP="0083032F">
          <w:pPr>
            <w:spacing w:after="50"/>
            <w:rPr>
              <w:rFonts w:ascii="Calibri" w:hAnsi="Calibri" w:cs="Calibri"/>
              <w:sz w:val="22"/>
              <w:szCs w:val="22"/>
            </w:rPr>
          </w:pPr>
          <w:r w:rsidRPr="00664B6C">
            <w:rPr>
              <w:rFonts w:ascii="Calibri" w:hAnsi="Calibri" w:cs="Calibri"/>
              <w:sz w:val="22"/>
              <w:szCs w:val="22"/>
            </w:rPr>
            <w:fldChar w:fldCharType="end"/>
          </w:r>
        </w:p>
      </w:sdtContent>
    </w:sdt>
    <w:p w14:paraId="2525187B" w14:textId="77777777" w:rsidR="00683455" w:rsidRDefault="00683455" w:rsidP="00434FAC">
      <w:r>
        <w:br w:type="page"/>
      </w:r>
    </w:p>
    <w:p w14:paraId="7FF8A067" w14:textId="77777777" w:rsidR="00683455" w:rsidRDefault="00616489" w:rsidP="00683455">
      <w:pPr>
        <w:pStyle w:val="Heading2"/>
        <w:spacing w:after="0"/>
      </w:pPr>
      <w:bookmarkStart w:id="1" w:name="_Toc208822603"/>
      <w:r w:rsidRPr="00683455">
        <w:rPr>
          <w:rFonts w:ascii="Fira Sans SemiBold" w:hAnsi="Fira Sans SemiBold"/>
          <w:sz w:val="26"/>
          <w:szCs w:val="26"/>
        </w:rPr>
        <w:lastRenderedPageBreak/>
        <w:t>Purpose</w:t>
      </w:r>
      <w:bookmarkEnd w:id="1"/>
      <w:r>
        <w:t xml:space="preserve"> </w:t>
      </w:r>
    </w:p>
    <w:p w14:paraId="04047665" w14:textId="49F2BAE4" w:rsidR="00616489" w:rsidRPr="00BD0FED" w:rsidRDefault="00616489" w:rsidP="00434FAC">
      <w:pPr>
        <w:rPr>
          <w:rFonts w:ascii="Calibri" w:hAnsi="Calibri" w:cs="Calibri"/>
          <w:sz w:val="22"/>
          <w:szCs w:val="22"/>
        </w:rPr>
      </w:pPr>
      <w:r w:rsidRPr="00BD0FED">
        <w:rPr>
          <w:rFonts w:ascii="Calibri" w:hAnsi="Calibri" w:cs="Calibri"/>
          <w:sz w:val="22"/>
          <w:szCs w:val="22"/>
        </w:rPr>
        <w:t xml:space="preserve">Synergy Information Solutions supplies this document for the </w:t>
      </w:r>
      <w:r w:rsidR="007E645F" w:rsidRPr="00BD0FED">
        <w:rPr>
          <w:rFonts w:ascii="Calibri" w:hAnsi="Calibri" w:cs="Calibri"/>
          <w:sz w:val="22"/>
          <w:szCs w:val="22"/>
        </w:rPr>
        <w:t xml:space="preserve">free </w:t>
      </w:r>
      <w:r w:rsidRPr="00BD0FED">
        <w:rPr>
          <w:rFonts w:ascii="Calibri" w:hAnsi="Calibri" w:cs="Calibri"/>
          <w:sz w:val="22"/>
          <w:szCs w:val="22"/>
        </w:rPr>
        <w:t xml:space="preserve">use of your tribal organization. </w:t>
      </w:r>
      <w:r w:rsidR="007E645F" w:rsidRPr="00BD0FED">
        <w:rPr>
          <w:rFonts w:ascii="Calibri" w:hAnsi="Calibri" w:cs="Calibri"/>
          <w:sz w:val="22"/>
          <w:szCs w:val="22"/>
        </w:rPr>
        <w:t xml:space="preserve">However, it is important to know that this document should be used as only a starting point of </w:t>
      </w:r>
      <w:r w:rsidR="007C3997" w:rsidRPr="00BD0FED">
        <w:rPr>
          <w:rFonts w:ascii="Calibri" w:hAnsi="Calibri" w:cs="Calibri"/>
          <w:sz w:val="22"/>
          <w:szCs w:val="22"/>
        </w:rPr>
        <w:t>content</w:t>
      </w:r>
      <w:r w:rsidR="007E645F" w:rsidRPr="00BD0FED">
        <w:rPr>
          <w:rFonts w:ascii="Calibri" w:hAnsi="Calibri" w:cs="Calibri"/>
          <w:sz w:val="22"/>
          <w:szCs w:val="22"/>
        </w:rPr>
        <w:t xml:space="preserve"> and structure. </w:t>
      </w:r>
      <w:r w:rsidR="007C3997" w:rsidRPr="00BD0FED">
        <w:rPr>
          <w:rFonts w:ascii="Calibri" w:hAnsi="Calibri" w:cs="Calibri"/>
          <w:sz w:val="22"/>
          <w:szCs w:val="22"/>
        </w:rPr>
        <w:t xml:space="preserve">Your final policy should come from </w:t>
      </w:r>
      <w:r w:rsidR="00711E8D" w:rsidRPr="00BD0FED">
        <w:rPr>
          <w:rFonts w:ascii="Calibri" w:hAnsi="Calibri" w:cs="Calibri"/>
          <w:sz w:val="22"/>
          <w:szCs w:val="22"/>
        </w:rPr>
        <w:t>internal process review.</w:t>
      </w:r>
    </w:p>
    <w:p w14:paraId="66114711" w14:textId="05C57ACB" w:rsidR="00434FAC" w:rsidRPr="00BD0FED" w:rsidRDefault="00434FAC" w:rsidP="00434FAC">
      <w:pPr>
        <w:rPr>
          <w:rFonts w:ascii="Calibri" w:hAnsi="Calibri" w:cs="Calibri"/>
          <w:sz w:val="22"/>
          <w:szCs w:val="22"/>
        </w:rPr>
      </w:pPr>
      <w:r w:rsidRPr="00BD0FED">
        <w:rPr>
          <w:rFonts w:ascii="Calibri" w:hAnsi="Calibri" w:cs="Calibri"/>
          <w:sz w:val="22"/>
          <w:szCs w:val="22"/>
        </w:rPr>
        <w:t>Artificial Intelligence Acceptable Use Policy of the [TRIBAL ENTITY]</w:t>
      </w:r>
    </w:p>
    <w:p w14:paraId="3FE0574E" w14:textId="77777777" w:rsidR="00434FAC" w:rsidRPr="00BD0FED" w:rsidRDefault="00434FAC" w:rsidP="00F8680B">
      <w:pPr>
        <w:pStyle w:val="Heading2"/>
        <w:rPr>
          <w:rFonts w:ascii="Fira Sans SemiBold" w:hAnsi="Fira Sans SemiBold"/>
          <w:sz w:val="26"/>
          <w:szCs w:val="26"/>
        </w:rPr>
      </w:pPr>
      <w:bookmarkStart w:id="2" w:name="_Toc208822604"/>
      <w:r w:rsidRPr="00BD0FED">
        <w:rPr>
          <w:rFonts w:ascii="Fira Sans SemiBold" w:hAnsi="Fira Sans SemiBold"/>
          <w:sz w:val="26"/>
          <w:szCs w:val="26"/>
        </w:rPr>
        <w:t>1.0 Introduction and Purpose</w:t>
      </w:r>
      <w:bookmarkEnd w:id="2"/>
    </w:p>
    <w:p w14:paraId="1C82160B" w14:textId="77777777" w:rsidR="00434FAC" w:rsidRPr="00BD0FED" w:rsidRDefault="00434FAC" w:rsidP="009D303C">
      <w:pPr>
        <w:pStyle w:val="Heading3"/>
        <w:spacing w:before="0" w:after="0"/>
        <w:rPr>
          <w:rFonts w:ascii="Fira Sans" w:hAnsi="Fira Sans"/>
          <w:sz w:val="24"/>
          <w:szCs w:val="24"/>
        </w:rPr>
      </w:pPr>
      <w:bookmarkStart w:id="3" w:name="_Toc208822605"/>
      <w:r w:rsidRPr="00BD0FED">
        <w:rPr>
          <w:rFonts w:ascii="Fira Sans" w:hAnsi="Fira Sans"/>
          <w:sz w:val="24"/>
          <w:szCs w:val="24"/>
        </w:rPr>
        <w:t>1.1 Policy Statement</w:t>
      </w:r>
      <w:bookmarkEnd w:id="3"/>
    </w:p>
    <w:p w14:paraId="45945B25" w14:textId="10E1E659" w:rsidR="00434FAC" w:rsidRPr="00BD0FED" w:rsidRDefault="00434FAC" w:rsidP="00434FAC">
      <w:pPr>
        <w:rPr>
          <w:rFonts w:ascii="Calibri" w:hAnsi="Calibri" w:cs="Calibri"/>
          <w:sz w:val="22"/>
          <w:szCs w:val="22"/>
        </w:rPr>
      </w:pPr>
      <w:r w:rsidRPr="00BD0FED">
        <w:rPr>
          <w:rFonts w:ascii="Calibri" w:hAnsi="Calibri" w:cs="Calibri"/>
          <w:sz w:val="22"/>
          <w:szCs w:val="22"/>
        </w:rPr>
        <w:t>This document establishes the official Acceptable Use Policy (AUP) for Artificial Intelligence (AI) technologies across all departments, enterprises, and entities of the [TRIBAL ENTITY]. The purpose of this policy is to provide clear, enforceable guidelines for the procurement, development, and use of AI. Adherence to this policy is mandatory and is intended to ensure that all applications of AI are secure, ethical, responsible, and fundamentally aligned with the Nation's inherent sovereignty, laws, and cultural values.</w:t>
      </w:r>
    </w:p>
    <w:p w14:paraId="6779684A" w14:textId="77777777" w:rsidR="00434FAC" w:rsidRPr="00BD0FED" w:rsidRDefault="00434FAC" w:rsidP="00437EB5">
      <w:pPr>
        <w:pStyle w:val="Heading3"/>
        <w:spacing w:after="0"/>
        <w:rPr>
          <w:rFonts w:ascii="Fira Sans" w:hAnsi="Fira Sans"/>
          <w:sz w:val="24"/>
          <w:szCs w:val="24"/>
        </w:rPr>
      </w:pPr>
      <w:bookmarkStart w:id="4" w:name="_Toc208822606"/>
      <w:r w:rsidRPr="00BD0FED">
        <w:rPr>
          <w:rFonts w:ascii="Fira Sans" w:hAnsi="Fira Sans"/>
          <w:sz w:val="24"/>
          <w:szCs w:val="24"/>
        </w:rPr>
        <w:t>1.2 Guiding Philosophy</w:t>
      </w:r>
      <w:bookmarkEnd w:id="4"/>
    </w:p>
    <w:p w14:paraId="37A2D485" w14:textId="23D4B8C1" w:rsidR="00434FAC" w:rsidRPr="00BD0FED" w:rsidRDefault="00434FAC" w:rsidP="00434FAC">
      <w:pPr>
        <w:rPr>
          <w:rFonts w:ascii="Calibri" w:hAnsi="Calibri" w:cs="Calibri"/>
          <w:sz w:val="22"/>
          <w:szCs w:val="22"/>
        </w:rPr>
      </w:pPr>
      <w:r w:rsidRPr="00BD0FED">
        <w:rPr>
          <w:rFonts w:ascii="Calibri" w:hAnsi="Calibri" w:cs="Calibri"/>
          <w:sz w:val="22"/>
          <w:szCs w:val="22"/>
        </w:rPr>
        <w:t>The [TRIBAL ENTITY] recognizes Artificial Intelligence as a powerful tool with the potential to significantly benefit our community. When governed properly, AI can enhance the efficiency of our government operations, improve the delivery of services to our members, preserve our cultural heritage, and create new pathways for sustainable economic development.</w:t>
      </w:r>
      <w:r w:rsidRPr="00BD0FED">
        <w:rPr>
          <w:rFonts w:ascii="Calibri" w:hAnsi="Calibri" w:cs="Calibri"/>
          <w:sz w:val="22"/>
          <w:szCs w:val="22"/>
          <w:vertAlign w:val="superscript"/>
        </w:rPr>
        <w:t>1</w:t>
      </w:r>
      <w:r w:rsidRPr="00BD0FED">
        <w:rPr>
          <w:rFonts w:ascii="Calibri" w:hAnsi="Calibri" w:cs="Calibri"/>
          <w:sz w:val="22"/>
          <w:szCs w:val="22"/>
        </w:rPr>
        <w:t xml:space="preserve"> However, this potential must be carefully balanced against the substantial risks that ungoverned AI poses to our data, our autonomy, our privacy, and the well-being of our community members. This policy, therefore, is not designed to stifle innovation but to guide it responsibly. It establishes the principle that technology must serve the people and the long-term interests of the Nation, ensuring that we remain the architects of our own digital future.</w:t>
      </w:r>
    </w:p>
    <w:p w14:paraId="7CBFD2E5" w14:textId="77777777" w:rsidR="00434FAC" w:rsidRPr="00BD0FED" w:rsidRDefault="00434FAC" w:rsidP="00437EB5">
      <w:pPr>
        <w:pStyle w:val="Heading3"/>
        <w:spacing w:after="0"/>
        <w:rPr>
          <w:rFonts w:ascii="Fira Sans" w:hAnsi="Fira Sans"/>
          <w:sz w:val="24"/>
          <w:szCs w:val="24"/>
        </w:rPr>
      </w:pPr>
      <w:bookmarkStart w:id="5" w:name="_Toc208822607"/>
      <w:r w:rsidRPr="00BD0FED">
        <w:rPr>
          <w:rFonts w:ascii="Fira Sans" w:hAnsi="Fira Sans"/>
          <w:sz w:val="24"/>
          <w:szCs w:val="24"/>
        </w:rPr>
        <w:t>1.3 Acknowledgment of Sovereignty</w:t>
      </w:r>
      <w:bookmarkEnd w:id="5"/>
    </w:p>
    <w:p w14:paraId="660AA090" w14:textId="52026581" w:rsidR="00434FAC" w:rsidRPr="00BD0FED" w:rsidRDefault="00434FAC" w:rsidP="00434FAC">
      <w:pPr>
        <w:rPr>
          <w:rFonts w:ascii="Calibri" w:hAnsi="Calibri" w:cs="Calibri"/>
          <w:sz w:val="22"/>
          <w:szCs w:val="22"/>
        </w:rPr>
      </w:pPr>
      <w:r w:rsidRPr="00BD0FED">
        <w:rPr>
          <w:rFonts w:ascii="Calibri" w:hAnsi="Calibri" w:cs="Calibri"/>
          <w:sz w:val="22"/>
          <w:szCs w:val="22"/>
        </w:rPr>
        <w:t>This policy is a formal exercise of the [TRIBAL ENTITY]'s inherent sovereignty and right to self-governance. All uses of AI, and all data processed by AI systems within the Nation's jurisdiction, are subject to the laws, regulations, and oversight of the [TRIBAL ENTITY]. External entities, including technology vendors and partners, must acknowledge and respect this sovereign authority as a precondition of any engagement involving AI technology or the Nation's data.</w:t>
      </w:r>
    </w:p>
    <w:p w14:paraId="40BE9A71" w14:textId="77777777" w:rsidR="00434FAC" w:rsidRPr="00BD0FED" w:rsidRDefault="00434FAC" w:rsidP="00F8680B">
      <w:pPr>
        <w:pStyle w:val="Heading2"/>
        <w:rPr>
          <w:rFonts w:ascii="Fira Sans SemiBold" w:hAnsi="Fira Sans SemiBold"/>
          <w:sz w:val="26"/>
          <w:szCs w:val="26"/>
        </w:rPr>
      </w:pPr>
      <w:bookmarkStart w:id="6" w:name="_Toc208822608"/>
      <w:r w:rsidRPr="00BD0FED">
        <w:rPr>
          <w:rFonts w:ascii="Fira Sans SemiBold" w:hAnsi="Fira Sans SemiBold"/>
          <w:sz w:val="26"/>
          <w:szCs w:val="26"/>
        </w:rPr>
        <w:t>2.0 Foundational Principles: Upholding Sovereignty in the Age of AI</w:t>
      </w:r>
      <w:bookmarkEnd w:id="6"/>
    </w:p>
    <w:p w14:paraId="6B37AAA1" w14:textId="77777777" w:rsidR="00434FAC" w:rsidRPr="00BD0FED" w:rsidRDefault="00434FAC" w:rsidP="00F8680B">
      <w:pPr>
        <w:pStyle w:val="Heading3"/>
        <w:spacing w:before="0" w:after="0"/>
        <w:rPr>
          <w:rFonts w:ascii="Fira Sans" w:hAnsi="Fira Sans"/>
          <w:sz w:val="24"/>
          <w:szCs w:val="24"/>
        </w:rPr>
      </w:pPr>
      <w:bookmarkStart w:id="7" w:name="_Toc208822609"/>
      <w:r w:rsidRPr="00BD0FED">
        <w:rPr>
          <w:rFonts w:ascii="Fira Sans" w:hAnsi="Fira Sans"/>
          <w:sz w:val="24"/>
          <w:szCs w:val="24"/>
        </w:rPr>
        <w:t>2.1 The Primacy of Indigenous Data Sovereignty</w:t>
      </w:r>
      <w:bookmarkEnd w:id="7"/>
    </w:p>
    <w:p w14:paraId="5199CA90" w14:textId="0786679C" w:rsidR="00434FAC" w:rsidRPr="00BD0FED" w:rsidRDefault="00434FAC" w:rsidP="00434FAC">
      <w:pPr>
        <w:rPr>
          <w:rFonts w:ascii="Calibri" w:hAnsi="Calibri" w:cs="Calibri"/>
          <w:sz w:val="22"/>
          <w:szCs w:val="22"/>
        </w:rPr>
      </w:pPr>
      <w:r w:rsidRPr="00BD0FED">
        <w:rPr>
          <w:rFonts w:ascii="Calibri" w:hAnsi="Calibri" w:cs="Calibri"/>
          <w:sz w:val="22"/>
          <w:szCs w:val="22"/>
        </w:rPr>
        <w:t xml:space="preserve">The non-negotiable foundation of this policy is the principle of Indigenous Data Sovereignty. The Nation asserts that its data is a sovereign asset, essential to self-determination and the rebuilding of a strong Nation. This data </w:t>
      </w:r>
      <w:proofErr w:type="gramStart"/>
      <w:r w:rsidRPr="00BD0FED">
        <w:rPr>
          <w:rFonts w:ascii="Calibri" w:hAnsi="Calibri" w:cs="Calibri"/>
          <w:sz w:val="22"/>
          <w:szCs w:val="22"/>
        </w:rPr>
        <w:t>includes, but</w:t>
      </w:r>
      <w:proofErr w:type="gramEnd"/>
      <w:r w:rsidRPr="00BD0FED">
        <w:rPr>
          <w:rFonts w:ascii="Calibri" w:hAnsi="Calibri" w:cs="Calibri"/>
          <w:sz w:val="22"/>
          <w:szCs w:val="22"/>
        </w:rPr>
        <w:t xml:space="preserve"> is not limited </w:t>
      </w:r>
      <w:proofErr w:type="gramStart"/>
      <w:r w:rsidRPr="00BD0FED">
        <w:rPr>
          <w:rFonts w:ascii="Calibri" w:hAnsi="Calibri" w:cs="Calibri"/>
          <w:sz w:val="22"/>
          <w:szCs w:val="22"/>
        </w:rPr>
        <w:t>to:</w:t>
      </w:r>
      <w:proofErr w:type="gramEnd"/>
      <w:r w:rsidRPr="00BD0FED">
        <w:rPr>
          <w:rFonts w:ascii="Calibri" w:hAnsi="Calibri" w:cs="Calibri"/>
          <w:sz w:val="22"/>
          <w:szCs w:val="22"/>
        </w:rPr>
        <w:t xml:space="preserve"> information about our members (demographics, health, education); information about our lands, waters, and resources; our cultural knowledge, languages, stories, and ceremonies; and all operational data generated by our government and enterprises. The </w:t>
      </w:r>
      <w:r w:rsidRPr="00BD0FED">
        <w:rPr>
          <w:rFonts w:ascii="Calibri" w:hAnsi="Calibri" w:cs="Calibri"/>
          <w:sz w:val="22"/>
          <w:szCs w:val="22"/>
        </w:rPr>
        <w:lastRenderedPageBreak/>
        <w:t>Nation has the inherent right to govern this data, including its collection, ownership, and application, for the collective benefit of its people. All provisions of this policy shall be interpreted through the lens of protecting and advancing the Nation's data sovereignty.</w:t>
      </w:r>
    </w:p>
    <w:p w14:paraId="13FCDBB2" w14:textId="77777777" w:rsidR="00434FAC" w:rsidRPr="00BD0FED" w:rsidRDefault="00434FAC" w:rsidP="00560382">
      <w:pPr>
        <w:pStyle w:val="Heading3"/>
        <w:spacing w:after="0"/>
        <w:rPr>
          <w:rFonts w:ascii="Fira Sans" w:hAnsi="Fira Sans"/>
          <w:sz w:val="24"/>
          <w:szCs w:val="24"/>
        </w:rPr>
      </w:pPr>
      <w:bookmarkStart w:id="8" w:name="_Toc208822610"/>
      <w:r w:rsidRPr="00BD0FED">
        <w:rPr>
          <w:rFonts w:ascii="Fira Sans" w:hAnsi="Fira Sans"/>
          <w:sz w:val="24"/>
          <w:szCs w:val="24"/>
        </w:rPr>
        <w:t>2.2 Integration of the OCAP® Principles</w:t>
      </w:r>
      <w:bookmarkEnd w:id="8"/>
    </w:p>
    <w:p w14:paraId="6684E5EC" w14:textId="4A4180A5" w:rsidR="00434FAC" w:rsidRPr="00BD0FED" w:rsidRDefault="00434FAC" w:rsidP="0094713B">
      <w:pPr>
        <w:spacing w:after="0"/>
        <w:rPr>
          <w:rFonts w:ascii="Calibri" w:hAnsi="Calibri" w:cs="Calibri"/>
          <w:sz w:val="22"/>
          <w:szCs w:val="22"/>
        </w:rPr>
      </w:pPr>
      <w:r w:rsidRPr="00BD0FED">
        <w:rPr>
          <w:rFonts w:ascii="Calibri" w:hAnsi="Calibri" w:cs="Calibri"/>
          <w:sz w:val="22"/>
          <w:szCs w:val="22"/>
        </w:rPr>
        <w:t>To operationalize Indigenous Data Sovereignty, this policy formally adopts and mandates adherence to the First Nations principles of Ownership, Control, Access, and Possession (OCAP®) for all data governance related to AI systems. These principles provide the jurisdictional and structural authority over the Nation's data.</w:t>
      </w:r>
    </w:p>
    <w:p w14:paraId="137579A9" w14:textId="4DF123E4" w:rsidR="00434FAC" w:rsidRPr="00BD0FED" w:rsidRDefault="00434FAC" w:rsidP="0094713B">
      <w:pPr>
        <w:numPr>
          <w:ilvl w:val="0"/>
          <w:numId w:val="23"/>
        </w:numPr>
        <w:spacing w:after="0"/>
        <w:rPr>
          <w:rFonts w:ascii="Calibri" w:hAnsi="Calibri" w:cs="Calibri"/>
          <w:sz w:val="22"/>
          <w:szCs w:val="22"/>
        </w:rPr>
      </w:pPr>
      <w:r w:rsidRPr="00BD0FED">
        <w:rPr>
          <w:rFonts w:ascii="Calibri" w:hAnsi="Calibri" w:cs="Calibri"/>
          <w:sz w:val="22"/>
          <w:szCs w:val="22"/>
        </w:rPr>
        <w:t>Ownership: The [TRIBAL ENTITY], as a collective, owns its information in the same way an individual owns their personal information. This right is inalienable. It applies to all data used to train, fine-tune, or query AI models, as well as any data generated by those models. Any assertion of ownership over the Nation's data by an external party is void.</w:t>
      </w:r>
    </w:p>
    <w:p w14:paraId="1CC90397" w14:textId="36FAB586" w:rsidR="00434FAC" w:rsidRPr="00BD0FED" w:rsidRDefault="00434FAC" w:rsidP="00AD0EE7">
      <w:pPr>
        <w:numPr>
          <w:ilvl w:val="0"/>
          <w:numId w:val="23"/>
        </w:numPr>
        <w:spacing w:after="0"/>
        <w:rPr>
          <w:rFonts w:ascii="Calibri" w:hAnsi="Calibri" w:cs="Calibri"/>
          <w:sz w:val="22"/>
          <w:szCs w:val="22"/>
        </w:rPr>
      </w:pPr>
      <w:r w:rsidRPr="00BD0FED">
        <w:rPr>
          <w:rFonts w:ascii="Calibri" w:hAnsi="Calibri" w:cs="Calibri"/>
          <w:sz w:val="22"/>
          <w:szCs w:val="22"/>
        </w:rPr>
        <w:t>Control: The Nation asserts its absolute right to control all aspects of AI-related data management processes that impact it. This includes control over how data is collected, used, interpreted, stored, disclosed, and ultimately destroyed. This principle directly informs all rules within this policy regarding vendor selection, system architecture, and data handling protocols.</w:t>
      </w:r>
    </w:p>
    <w:p w14:paraId="669B7E5C" w14:textId="0BE3CF16" w:rsidR="00434FAC" w:rsidRPr="00BD0FED" w:rsidRDefault="00434FAC" w:rsidP="00AD0EE7">
      <w:pPr>
        <w:numPr>
          <w:ilvl w:val="0"/>
          <w:numId w:val="23"/>
        </w:numPr>
        <w:spacing w:after="0"/>
        <w:rPr>
          <w:rFonts w:ascii="Calibri" w:hAnsi="Calibri" w:cs="Calibri"/>
          <w:sz w:val="22"/>
          <w:szCs w:val="22"/>
        </w:rPr>
      </w:pPr>
      <w:r w:rsidRPr="00BD0FED">
        <w:rPr>
          <w:rFonts w:ascii="Calibri" w:hAnsi="Calibri" w:cs="Calibri"/>
          <w:sz w:val="22"/>
          <w:szCs w:val="22"/>
        </w:rPr>
        <w:t>Access: The Nation and its members must have access to data held about them, regardless of where that data is physically stored. This right extends to understanding and challenging decisions made by AI systems that affect members' rights, benefits, or well-being. AI systems must not be "black boxes"; their decision-making processes must be explainable to the Nation's governing bodies.</w:t>
      </w:r>
    </w:p>
    <w:p w14:paraId="764B8CB3" w14:textId="1F94BF3E" w:rsidR="00434FAC" w:rsidRPr="00BD0FED" w:rsidRDefault="00434FAC" w:rsidP="00AD0EE7">
      <w:pPr>
        <w:numPr>
          <w:ilvl w:val="0"/>
          <w:numId w:val="23"/>
        </w:numPr>
        <w:rPr>
          <w:rFonts w:ascii="Calibri" w:hAnsi="Calibri" w:cs="Calibri"/>
          <w:sz w:val="22"/>
          <w:szCs w:val="22"/>
        </w:rPr>
      </w:pPr>
      <w:r w:rsidRPr="00BD0FED">
        <w:rPr>
          <w:rFonts w:ascii="Calibri" w:hAnsi="Calibri" w:cs="Calibri"/>
          <w:sz w:val="22"/>
          <w:szCs w:val="22"/>
        </w:rPr>
        <w:t>Possession: While Ownership is a principle, Possession is the physical stewardship and control of data. Possession is the primary mechanism by which Ownership is asserted and protected. Therefore, this policy establishes a strong preference for AI systems and data storage solutions that are physically hosted on sovereign land or are subject to legal agreements that explicitly place the data under the Nation's exclusive jurisdiction and control. This aligns directly with technical security controls such as network segmentation and data isolation.</w:t>
      </w:r>
    </w:p>
    <w:p w14:paraId="4B61A3D7" w14:textId="77777777" w:rsidR="00434FAC" w:rsidRPr="00B92B6E" w:rsidRDefault="00434FAC" w:rsidP="00560382">
      <w:pPr>
        <w:pStyle w:val="Heading3"/>
        <w:spacing w:after="0"/>
        <w:rPr>
          <w:rFonts w:ascii="Fira Sans" w:hAnsi="Fira Sans"/>
          <w:sz w:val="24"/>
          <w:szCs w:val="24"/>
        </w:rPr>
      </w:pPr>
      <w:bookmarkStart w:id="9" w:name="_Toc208822611"/>
      <w:r w:rsidRPr="00B92B6E">
        <w:rPr>
          <w:rFonts w:ascii="Fira Sans" w:hAnsi="Fira Sans"/>
          <w:sz w:val="24"/>
          <w:szCs w:val="24"/>
        </w:rPr>
        <w:t>2.3 Integration of the CARE Principles</w:t>
      </w:r>
      <w:bookmarkEnd w:id="9"/>
    </w:p>
    <w:p w14:paraId="0E1EB1B1" w14:textId="3CA6FC2F" w:rsidR="00434FAC" w:rsidRPr="00BD0FED" w:rsidRDefault="00434FAC" w:rsidP="007D4A0F">
      <w:pPr>
        <w:spacing w:after="0"/>
        <w:rPr>
          <w:rFonts w:ascii="Calibri" w:hAnsi="Calibri" w:cs="Calibri"/>
          <w:sz w:val="22"/>
          <w:szCs w:val="22"/>
        </w:rPr>
      </w:pPr>
      <w:r w:rsidRPr="00BD0FED">
        <w:rPr>
          <w:rFonts w:ascii="Calibri" w:hAnsi="Calibri" w:cs="Calibri"/>
          <w:sz w:val="22"/>
          <w:szCs w:val="22"/>
        </w:rPr>
        <w:t xml:space="preserve">To ensure that the Nation's authority over its data is exercised wisely, this policy adopts the CARE Principles for Indigenous Data Governance, developed by the Global Indigenous Data Alliance (GIDA), as its guiding ethical framework. Where OCAP® establishes the </w:t>
      </w:r>
      <w:r w:rsidRPr="00BD0FED">
        <w:rPr>
          <w:rFonts w:ascii="Calibri" w:hAnsi="Calibri" w:cs="Calibri"/>
          <w:i/>
          <w:iCs/>
          <w:sz w:val="22"/>
          <w:szCs w:val="22"/>
        </w:rPr>
        <w:t>right to govern</w:t>
      </w:r>
      <w:r w:rsidRPr="00BD0FED">
        <w:rPr>
          <w:rFonts w:ascii="Calibri" w:hAnsi="Calibri" w:cs="Calibri"/>
          <w:sz w:val="22"/>
          <w:szCs w:val="22"/>
        </w:rPr>
        <w:t xml:space="preserve">, CARE provides the </w:t>
      </w:r>
      <w:r w:rsidRPr="00BD0FED">
        <w:rPr>
          <w:rFonts w:ascii="Calibri" w:hAnsi="Calibri" w:cs="Calibri"/>
          <w:i/>
          <w:iCs/>
          <w:sz w:val="22"/>
          <w:szCs w:val="22"/>
        </w:rPr>
        <w:t>values for governing well</w:t>
      </w:r>
      <w:r w:rsidRPr="00BD0FED">
        <w:rPr>
          <w:rFonts w:ascii="Calibri" w:hAnsi="Calibri" w:cs="Calibri"/>
          <w:sz w:val="22"/>
          <w:szCs w:val="22"/>
        </w:rPr>
        <w:t>. Any proposed use of AI must be evaluated against these four principles.</w:t>
      </w:r>
    </w:p>
    <w:p w14:paraId="4A938AF9" w14:textId="7F9AC801" w:rsidR="00434FAC" w:rsidRPr="00BD0FED" w:rsidRDefault="00434FAC" w:rsidP="007D4A0F">
      <w:pPr>
        <w:numPr>
          <w:ilvl w:val="0"/>
          <w:numId w:val="24"/>
        </w:numPr>
        <w:spacing w:after="0"/>
        <w:rPr>
          <w:rFonts w:ascii="Calibri" w:hAnsi="Calibri" w:cs="Calibri"/>
          <w:sz w:val="22"/>
          <w:szCs w:val="22"/>
        </w:rPr>
      </w:pPr>
      <w:r w:rsidRPr="00BD0FED">
        <w:rPr>
          <w:rFonts w:ascii="Calibri" w:hAnsi="Calibri" w:cs="Calibri"/>
          <w:sz w:val="22"/>
          <w:szCs w:val="22"/>
        </w:rPr>
        <w:t xml:space="preserve">Collective Benefit: AI systems must be designed, implemented, and function in ways that enable the Nation and its people to derive tangible benefits. These benefits may include improved healthcare outcomes, enhanced educational opportunities, preservation of language and culture, or sustainable economic growth. AI initiatives that primarily benefit external commercial </w:t>
      </w:r>
      <w:r w:rsidRPr="00BD0FED">
        <w:rPr>
          <w:rFonts w:ascii="Calibri" w:hAnsi="Calibri" w:cs="Calibri"/>
          <w:sz w:val="22"/>
          <w:szCs w:val="22"/>
        </w:rPr>
        <w:lastRenderedPageBreak/>
        <w:t>interests without providing a clear, reciprocal, and significant benefit to the community are prohibited.</w:t>
      </w:r>
    </w:p>
    <w:p w14:paraId="19474ABA" w14:textId="4C6721FF" w:rsidR="00434FAC" w:rsidRPr="00BD0FED" w:rsidRDefault="00434FAC" w:rsidP="00437EB5">
      <w:pPr>
        <w:numPr>
          <w:ilvl w:val="0"/>
          <w:numId w:val="24"/>
        </w:numPr>
        <w:spacing w:after="0"/>
        <w:rPr>
          <w:rFonts w:ascii="Calibri" w:hAnsi="Calibri" w:cs="Calibri"/>
          <w:sz w:val="22"/>
          <w:szCs w:val="22"/>
        </w:rPr>
      </w:pPr>
      <w:r w:rsidRPr="00BD0FED">
        <w:rPr>
          <w:rFonts w:ascii="Calibri" w:hAnsi="Calibri" w:cs="Calibri"/>
          <w:sz w:val="22"/>
          <w:szCs w:val="22"/>
        </w:rPr>
        <w:t xml:space="preserve">Authority to Control: This principle reinforces the Nation's right to govern its data and control how its </w:t>
      </w:r>
      <w:proofErr w:type="gramStart"/>
      <w:r w:rsidRPr="00BD0FED">
        <w:rPr>
          <w:rFonts w:ascii="Calibri" w:hAnsi="Calibri" w:cs="Calibri"/>
          <w:sz w:val="22"/>
          <w:szCs w:val="22"/>
        </w:rPr>
        <w:t>peoples</w:t>
      </w:r>
      <w:proofErr w:type="gramEnd"/>
      <w:r w:rsidRPr="00BD0FED">
        <w:rPr>
          <w:rFonts w:ascii="Calibri" w:hAnsi="Calibri" w:cs="Calibri"/>
          <w:sz w:val="22"/>
          <w:szCs w:val="22"/>
        </w:rPr>
        <w:t>, lands, and culture are represented within data systems. This empowers the Nation to determine what AI models learn about the community and to prevent the creation of algorithms that misrepresent or harm the Nation's identity and interests.</w:t>
      </w:r>
    </w:p>
    <w:p w14:paraId="5F0A73FF" w14:textId="26F734DE" w:rsidR="00434FAC" w:rsidRPr="00BD0FED" w:rsidRDefault="00434FAC" w:rsidP="00437EB5">
      <w:pPr>
        <w:numPr>
          <w:ilvl w:val="0"/>
          <w:numId w:val="24"/>
        </w:numPr>
        <w:spacing w:after="0"/>
        <w:rPr>
          <w:rFonts w:ascii="Calibri" w:hAnsi="Calibri" w:cs="Calibri"/>
          <w:sz w:val="22"/>
          <w:szCs w:val="22"/>
        </w:rPr>
      </w:pPr>
      <w:r w:rsidRPr="00BD0FED">
        <w:rPr>
          <w:rFonts w:ascii="Calibri" w:hAnsi="Calibri" w:cs="Calibri"/>
          <w:sz w:val="22"/>
          <w:szCs w:val="22"/>
        </w:rPr>
        <w:t>Responsibility: The Nation, its employees, and its partners have a reciprocal responsibility to use AI in a manner that supports self-determination and demonstrates accountability. This includes a commitment to transparency in how AI is used, building data and AI literacy within the community, and ensuring that relationships with technology vendors are built on respect and trust.</w:t>
      </w:r>
    </w:p>
    <w:p w14:paraId="2F10E0D8" w14:textId="346979C7" w:rsidR="00434FAC" w:rsidRPr="00BD0FED" w:rsidRDefault="00434FAC" w:rsidP="00437EB5">
      <w:pPr>
        <w:numPr>
          <w:ilvl w:val="0"/>
          <w:numId w:val="24"/>
        </w:numPr>
        <w:rPr>
          <w:rFonts w:ascii="Calibri" w:hAnsi="Calibri" w:cs="Calibri"/>
          <w:sz w:val="22"/>
          <w:szCs w:val="22"/>
        </w:rPr>
      </w:pPr>
      <w:r w:rsidRPr="00BD0FED">
        <w:rPr>
          <w:rFonts w:ascii="Calibri" w:hAnsi="Calibri" w:cs="Calibri"/>
          <w:sz w:val="22"/>
          <w:szCs w:val="22"/>
        </w:rPr>
        <w:t xml:space="preserve">Ethics: The rights, safety, and well-being of the Nation's members are the primary concern at all stages of the AI lifecycle, from data collection to model deployment and retirement. AI must not be used to create or perpetuate harm, bias, stigma, or discrimination. Ethical reviews must assess potential </w:t>
      </w:r>
      <w:proofErr w:type="gramStart"/>
      <w:r w:rsidRPr="00BD0FED">
        <w:rPr>
          <w:rFonts w:ascii="Calibri" w:hAnsi="Calibri" w:cs="Calibri"/>
          <w:sz w:val="22"/>
          <w:szCs w:val="22"/>
        </w:rPr>
        <w:t>harms</w:t>
      </w:r>
      <w:proofErr w:type="gramEnd"/>
      <w:r w:rsidRPr="00BD0FED">
        <w:rPr>
          <w:rFonts w:ascii="Calibri" w:hAnsi="Calibri" w:cs="Calibri"/>
          <w:sz w:val="22"/>
          <w:szCs w:val="22"/>
        </w:rPr>
        <w:t xml:space="preserve"> from the perspective of the community itself.</w:t>
      </w:r>
    </w:p>
    <w:p w14:paraId="358E84D4" w14:textId="77777777" w:rsidR="00434FAC" w:rsidRPr="00BD0FED" w:rsidRDefault="00434FAC" w:rsidP="00434FAC">
      <w:pPr>
        <w:rPr>
          <w:rFonts w:ascii="Calibri" w:hAnsi="Calibri" w:cs="Calibri"/>
          <w:sz w:val="22"/>
          <w:szCs w:val="22"/>
        </w:rPr>
      </w:pPr>
      <w:r w:rsidRPr="00BD0FED">
        <w:rPr>
          <w:rFonts w:ascii="Calibri" w:hAnsi="Calibri" w:cs="Calibri"/>
          <w:sz w:val="22"/>
          <w:szCs w:val="22"/>
        </w:rPr>
        <w:t>Together, OCAP® and CARE form a powerful, two-part validation framework for every AI initiative. Any proposed AI system or use case must first satisfy the jurisdictional requirements of OCAP®—ensuring the Nation retains ownership and control. If it passes this test, it must then be evaluated against the ethical and purposeful requirements of CARE—ensuring it delivers a collective benefit and is implemented responsibly. An initiative must satisfy both frameworks to be approved.</w:t>
      </w:r>
    </w:p>
    <w:p w14:paraId="378A81FF" w14:textId="77777777" w:rsidR="00434FAC" w:rsidRPr="00BD0FED" w:rsidRDefault="00434FAC" w:rsidP="00437EB5">
      <w:pPr>
        <w:pStyle w:val="Heading2"/>
        <w:rPr>
          <w:rFonts w:ascii="Fira Sans SemiBold" w:hAnsi="Fira Sans SemiBold"/>
          <w:sz w:val="26"/>
          <w:szCs w:val="26"/>
        </w:rPr>
      </w:pPr>
      <w:bookmarkStart w:id="10" w:name="_Toc208822612"/>
      <w:r w:rsidRPr="00BD0FED">
        <w:rPr>
          <w:rFonts w:ascii="Fira Sans SemiBold" w:hAnsi="Fira Sans SemiBold"/>
          <w:sz w:val="26"/>
          <w:szCs w:val="26"/>
        </w:rPr>
        <w:t>3.0 Scope and Applicability</w:t>
      </w:r>
      <w:bookmarkEnd w:id="10"/>
    </w:p>
    <w:p w14:paraId="57A9EA54" w14:textId="77777777" w:rsidR="00434FAC" w:rsidRPr="00B92B6E" w:rsidRDefault="00434FAC" w:rsidP="00560382">
      <w:pPr>
        <w:pStyle w:val="Heading3"/>
        <w:spacing w:after="0"/>
        <w:rPr>
          <w:rFonts w:ascii="Fira Sans" w:hAnsi="Fira Sans"/>
          <w:sz w:val="24"/>
          <w:szCs w:val="24"/>
        </w:rPr>
      </w:pPr>
      <w:bookmarkStart w:id="11" w:name="_Toc208822613"/>
      <w:r w:rsidRPr="00B92B6E">
        <w:rPr>
          <w:rFonts w:ascii="Fira Sans" w:hAnsi="Fira Sans"/>
          <w:sz w:val="24"/>
          <w:szCs w:val="24"/>
        </w:rPr>
        <w:t>3.1 Persons Covered</w:t>
      </w:r>
      <w:bookmarkEnd w:id="11"/>
    </w:p>
    <w:p w14:paraId="2C8F786D" w14:textId="7339F13A" w:rsidR="00434FAC" w:rsidRPr="00BD0FED" w:rsidRDefault="00434FAC" w:rsidP="00434FAC">
      <w:pPr>
        <w:rPr>
          <w:rFonts w:ascii="Calibri" w:hAnsi="Calibri" w:cs="Calibri"/>
          <w:sz w:val="22"/>
          <w:szCs w:val="22"/>
        </w:rPr>
      </w:pPr>
      <w:r w:rsidRPr="00BD0FED">
        <w:rPr>
          <w:rFonts w:ascii="Calibri" w:hAnsi="Calibri" w:cs="Calibri"/>
          <w:sz w:val="22"/>
          <w:szCs w:val="22"/>
        </w:rPr>
        <w:t>This policy applies to all individuals and entities acting on behalf of the [TRIBAL ENTITY] or utilizing its resources. This includes, but is not limited to, all Tribal Council members, employees (full-time, part-time, temporary), contractors, consultants, volunteers, and any other party granted access to the Nation's information systems and data.</w:t>
      </w:r>
    </w:p>
    <w:p w14:paraId="170BB442" w14:textId="77777777" w:rsidR="00434FAC" w:rsidRPr="00B92B6E" w:rsidRDefault="00434FAC" w:rsidP="00560382">
      <w:pPr>
        <w:pStyle w:val="Heading3"/>
        <w:spacing w:after="0"/>
        <w:rPr>
          <w:rFonts w:ascii="Fira Sans" w:hAnsi="Fira Sans"/>
          <w:sz w:val="24"/>
          <w:szCs w:val="24"/>
        </w:rPr>
      </w:pPr>
      <w:bookmarkStart w:id="12" w:name="_Toc208822614"/>
      <w:r w:rsidRPr="00B92B6E">
        <w:rPr>
          <w:rFonts w:ascii="Fira Sans" w:hAnsi="Fira Sans"/>
          <w:sz w:val="24"/>
          <w:szCs w:val="24"/>
        </w:rPr>
        <w:t>3.2 Technologies Covered</w:t>
      </w:r>
      <w:bookmarkEnd w:id="12"/>
    </w:p>
    <w:p w14:paraId="370F0678" w14:textId="77777777" w:rsidR="00434FAC" w:rsidRPr="00BD0FED" w:rsidRDefault="00434FAC" w:rsidP="00121042">
      <w:pPr>
        <w:spacing w:after="0"/>
        <w:rPr>
          <w:rFonts w:ascii="Calibri" w:hAnsi="Calibri" w:cs="Calibri"/>
          <w:sz w:val="22"/>
          <w:szCs w:val="22"/>
        </w:rPr>
      </w:pPr>
      <w:r w:rsidRPr="00BD0FED">
        <w:rPr>
          <w:rFonts w:ascii="Calibri" w:hAnsi="Calibri" w:cs="Calibri"/>
          <w:sz w:val="22"/>
          <w:szCs w:val="22"/>
        </w:rPr>
        <w:t>This policy governs the use of all Artificial Intelligence systems, software, platforms, and features, whether procured from a third-party vendor, developed in-house, or accessed through public means. This includes, but is not limited to:</w:t>
      </w:r>
    </w:p>
    <w:p w14:paraId="5677EFCD" w14:textId="77777777" w:rsidR="00434FAC" w:rsidRPr="00BD0FED" w:rsidRDefault="00434FAC" w:rsidP="00BD0FED">
      <w:pPr>
        <w:numPr>
          <w:ilvl w:val="0"/>
          <w:numId w:val="25"/>
        </w:numPr>
        <w:spacing w:after="0"/>
        <w:rPr>
          <w:rFonts w:ascii="Calibri" w:hAnsi="Calibri" w:cs="Calibri"/>
          <w:sz w:val="22"/>
          <w:szCs w:val="22"/>
        </w:rPr>
      </w:pPr>
      <w:r w:rsidRPr="00BD0FED">
        <w:rPr>
          <w:rFonts w:ascii="Calibri" w:hAnsi="Calibri" w:cs="Calibri"/>
          <w:sz w:val="22"/>
          <w:szCs w:val="22"/>
        </w:rPr>
        <w:t>Generative AI (e.g., large language models like ChatGPT, image and code generators).</w:t>
      </w:r>
    </w:p>
    <w:p w14:paraId="52376CE1" w14:textId="77777777" w:rsidR="00434FAC" w:rsidRPr="00BD0FED" w:rsidRDefault="00434FAC" w:rsidP="00BD0FED">
      <w:pPr>
        <w:numPr>
          <w:ilvl w:val="0"/>
          <w:numId w:val="25"/>
        </w:numPr>
        <w:spacing w:after="0"/>
        <w:rPr>
          <w:rFonts w:ascii="Calibri" w:hAnsi="Calibri" w:cs="Calibri"/>
          <w:sz w:val="22"/>
          <w:szCs w:val="22"/>
        </w:rPr>
      </w:pPr>
      <w:r w:rsidRPr="00BD0FED">
        <w:rPr>
          <w:rFonts w:ascii="Calibri" w:hAnsi="Calibri" w:cs="Calibri"/>
          <w:sz w:val="22"/>
          <w:szCs w:val="22"/>
        </w:rPr>
        <w:t>Predictive Analytics and Machine Learning Models.</w:t>
      </w:r>
    </w:p>
    <w:p w14:paraId="3358D2AC" w14:textId="77777777" w:rsidR="00434FAC" w:rsidRPr="00BD0FED" w:rsidRDefault="00434FAC" w:rsidP="00BD0FED">
      <w:pPr>
        <w:numPr>
          <w:ilvl w:val="0"/>
          <w:numId w:val="25"/>
        </w:numPr>
        <w:spacing w:after="0"/>
        <w:rPr>
          <w:rFonts w:ascii="Calibri" w:hAnsi="Calibri" w:cs="Calibri"/>
          <w:sz w:val="22"/>
          <w:szCs w:val="22"/>
        </w:rPr>
      </w:pPr>
      <w:r w:rsidRPr="00BD0FED">
        <w:rPr>
          <w:rFonts w:ascii="Calibri" w:hAnsi="Calibri" w:cs="Calibri"/>
          <w:sz w:val="22"/>
          <w:szCs w:val="22"/>
        </w:rPr>
        <w:t>Automated Decision-Making Systems.</w:t>
      </w:r>
    </w:p>
    <w:p w14:paraId="7196EFA4" w14:textId="77777777" w:rsidR="00434FAC" w:rsidRPr="00BD0FED" w:rsidRDefault="00434FAC" w:rsidP="00BD0FED">
      <w:pPr>
        <w:numPr>
          <w:ilvl w:val="0"/>
          <w:numId w:val="25"/>
        </w:numPr>
        <w:spacing w:after="0"/>
        <w:rPr>
          <w:rFonts w:ascii="Calibri" w:hAnsi="Calibri" w:cs="Calibri"/>
          <w:sz w:val="22"/>
          <w:szCs w:val="22"/>
        </w:rPr>
      </w:pPr>
      <w:r w:rsidRPr="00BD0FED">
        <w:rPr>
          <w:rFonts w:ascii="Calibri" w:hAnsi="Calibri" w:cs="Calibri"/>
          <w:sz w:val="22"/>
          <w:szCs w:val="22"/>
        </w:rPr>
        <w:t>AI-powered surveillance and monitoring tools (e.g., facial recognition).</w:t>
      </w:r>
    </w:p>
    <w:p w14:paraId="46745AA4" w14:textId="77777777" w:rsidR="00434FAC" w:rsidRPr="00BD0FED" w:rsidRDefault="00434FAC" w:rsidP="00BD0FED">
      <w:pPr>
        <w:numPr>
          <w:ilvl w:val="0"/>
          <w:numId w:val="25"/>
        </w:numPr>
        <w:rPr>
          <w:rFonts w:ascii="Calibri" w:hAnsi="Calibri" w:cs="Calibri"/>
          <w:sz w:val="22"/>
          <w:szCs w:val="22"/>
        </w:rPr>
      </w:pPr>
      <w:r w:rsidRPr="00BD0FED">
        <w:rPr>
          <w:rFonts w:ascii="Calibri" w:hAnsi="Calibri" w:cs="Calibri"/>
          <w:sz w:val="22"/>
          <w:szCs w:val="22"/>
        </w:rPr>
        <w:t>AI features embedded within standard office software.</w:t>
      </w:r>
    </w:p>
    <w:p w14:paraId="78C62D5A" w14:textId="77777777" w:rsidR="00434FAC" w:rsidRPr="00B92B6E" w:rsidRDefault="00434FAC" w:rsidP="00D846DF">
      <w:pPr>
        <w:pStyle w:val="Heading3"/>
        <w:spacing w:after="0"/>
        <w:rPr>
          <w:rFonts w:ascii="Fira Sans" w:hAnsi="Fira Sans"/>
          <w:sz w:val="24"/>
          <w:szCs w:val="24"/>
        </w:rPr>
      </w:pPr>
      <w:bookmarkStart w:id="13" w:name="_Toc208822615"/>
      <w:r w:rsidRPr="00B92B6E">
        <w:rPr>
          <w:rFonts w:ascii="Fira Sans" w:hAnsi="Fira Sans"/>
          <w:sz w:val="24"/>
          <w:szCs w:val="24"/>
        </w:rPr>
        <w:lastRenderedPageBreak/>
        <w:t>3.3 Data Covered</w:t>
      </w:r>
      <w:bookmarkEnd w:id="13"/>
    </w:p>
    <w:p w14:paraId="65C6C57D" w14:textId="530B0549" w:rsidR="00434FAC" w:rsidRPr="00BD0FED" w:rsidRDefault="00434FAC" w:rsidP="00434FAC">
      <w:pPr>
        <w:rPr>
          <w:rFonts w:ascii="Calibri" w:hAnsi="Calibri" w:cs="Calibri"/>
          <w:sz w:val="22"/>
          <w:szCs w:val="22"/>
        </w:rPr>
      </w:pPr>
      <w:r w:rsidRPr="00BD0FED">
        <w:rPr>
          <w:rFonts w:ascii="Calibri" w:hAnsi="Calibri" w:cs="Calibri"/>
          <w:sz w:val="22"/>
          <w:szCs w:val="22"/>
        </w:rPr>
        <w:t xml:space="preserve">This policy applies to </w:t>
      </w:r>
      <w:proofErr w:type="gramStart"/>
      <w:r w:rsidRPr="00BD0FED">
        <w:rPr>
          <w:rFonts w:ascii="Calibri" w:hAnsi="Calibri" w:cs="Calibri"/>
          <w:sz w:val="22"/>
          <w:szCs w:val="22"/>
        </w:rPr>
        <w:t>any and all</w:t>
      </w:r>
      <w:proofErr w:type="gramEnd"/>
      <w:r w:rsidRPr="00BD0FED">
        <w:rPr>
          <w:rFonts w:ascii="Calibri" w:hAnsi="Calibri" w:cs="Calibri"/>
          <w:sz w:val="22"/>
          <w:szCs w:val="22"/>
        </w:rPr>
        <w:t xml:space="preserve"> data owned by or entrusted to the [TRIBAL ENTITY] that is input into, processed by, or generated as output from an AI system. This explicitly includes "Indigenous Data," which is broadly defined to encompass all information about the Nation's peoples, lands, resources, languages, cultures, knowledge, stories, and ceremonies, as well as data related to demographics, housing, health, economies, and education.</w:t>
      </w:r>
    </w:p>
    <w:p w14:paraId="1593268D" w14:textId="77777777" w:rsidR="00434FAC" w:rsidRPr="00BD0FED" w:rsidRDefault="00434FAC" w:rsidP="00D846DF">
      <w:pPr>
        <w:pStyle w:val="Heading2"/>
        <w:rPr>
          <w:rFonts w:ascii="Fira Sans SemiBold" w:hAnsi="Fira Sans SemiBold"/>
          <w:sz w:val="26"/>
          <w:szCs w:val="26"/>
        </w:rPr>
      </w:pPr>
      <w:bookmarkStart w:id="14" w:name="_Toc208822616"/>
      <w:r w:rsidRPr="00BD0FED">
        <w:rPr>
          <w:rFonts w:ascii="Fira Sans SemiBold" w:hAnsi="Fira Sans SemiBold"/>
          <w:sz w:val="26"/>
          <w:szCs w:val="26"/>
        </w:rPr>
        <w:t>4.0 General Rules for All Users of AI Systems</w:t>
      </w:r>
      <w:bookmarkEnd w:id="14"/>
    </w:p>
    <w:p w14:paraId="493AB668" w14:textId="77777777" w:rsidR="00434FAC" w:rsidRPr="00BD0FED" w:rsidRDefault="00434FAC" w:rsidP="00434FAC">
      <w:pPr>
        <w:rPr>
          <w:rFonts w:ascii="Calibri" w:hAnsi="Calibri" w:cs="Calibri"/>
          <w:sz w:val="22"/>
          <w:szCs w:val="22"/>
        </w:rPr>
      </w:pPr>
      <w:r w:rsidRPr="00BD0FED">
        <w:rPr>
          <w:rFonts w:ascii="Calibri" w:hAnsi="Calibri" w:cs="Calibri"/>
          <w:sz w:val="22"/>
          <w:szCs w:val="22"/>
        </w:rPr>
        <w:t>This section establishes the baseline rules that apply to all users across all departments and enterprises. These rules translate technical security and governance controls into clear, actionable responsibilities for every individual.</w:t>
      </w:r>
    </w:p>
    <w:p w14:paraId="6C747CAF" w14:textId="77777777" w:rsidR="00434FAC" w:rsidRPr="00B92B6E" w:rsidRDefault="00434FAC" w:rsidP="00D846DF">
      <w:pPr>
        <w:pStyle w:val="Heading3"/>
        <w:spacing w:after="0"/>
        <w:rPr>
          <w:rFonts w:ascii="Fira Sans" w:hAnsi="Fira Sans"/>
          <w:sz w:val="24"/>
          <w:szCs w:val="24"/>
        </w:rPr>
      </w:pPr>
      <w:bookmarkStart w:id="15" w:name="_Toc208822617"/>
      <w:r w:rsidRPr="00B92B6E">
        <w:rPr>
          <w:rFonts w:ascii="Fira Sans" w:hAnsi="Fira Sans"/>
          <w:sz w:val="24"/>
          <w:szCs w:val="24"/>
        </w:rPr>
        <w:t>4.1 Authorized Systems and Access</w:t>
      </w:r>
      <w:bookmarkEnd w:id="15"/>
    </w:p>
    <w:p w14:paraId="4BE03BA9" w14:textId="77777777" w:rsidR="00434FAC" w:rsidRPr="00BD0FED" w:rsidRDefault="00434FAC" w:rsidP="00D846DF">
      <w:pPr>
        <w:numPr>
          <w:ilvl w:val="0"/>
          <w:numId w:val="26"/>
        </w:numPr>
        <w:spacing w:after="0"/>
        <w:rPr>
          <w:rFonts w:ascii="Calibri" w:hAnsi="Calibri" w:cs="Calibri"/>
          <w:sz w:val="22"/>
          <w:szCs w:val="22"/>
        </w:rPr>
      </w:pPr>
      <w:r w:rsidRPr="00BD0FED">
        <w:rPr>
          <w:rFonts w:ascii="Calibri" w:hAnsi="Calibri" w:cs="Calibri"/>
          <w:sz w:val="22"/>
          <w:szCs w:val="22"/>
        </w:rPr>
        <w:t>Approved Systems Only: Users are permitted to use only those AI systems and tools that have been formally reviewed, approved, and authorized by the Nation's IT Department and the AI Governance Committee. A current list of approved AI systems will be maintained and made accessible to all personnel.</w:t>
      </w:r>
    </w:p>
    <w:p w14:paraId="745DA66C" w14:textId="0B18D559" w:rsidR="00434FAC" w:rsidRPr="00BD0FED" w:rsidRDefault="00434FAC" w:rsidP="00D846DF">
      <w:pPr>
        <w:numPr>
          <w:ilvl w:val="0"/>
          <w:numId w:val="26"/>
        </w:numPr>
        <w:rPr>
          <w:rFonts w:ascii="Calibri" w:hAnsi="Calibri" w:cs="Calibri"/>
          <w:sz w:val="22"/>
          <w:szCs w:val="22"/>
        </w:rPr>
      </w:pPr>
      <w:r w:rsidRPr="00BD0FED">
        <w:rPr>
          <w:rFonts w:ascii="Calibri" w:hAnsi="Calibri" w:cs="Calibri"/>
          <w:sz w:val="22"/>
          <w:szCs w:val="22"/>
        </w:rPr>
        <w:t xml:space="preserve">Principle of Least Privilege: Access to approved AI systems will be granted based on job function and necessity. Users will be </w:t>
      </w:r>
      <w:proofErr w:type="gramStart"/>
      <w:r w:rsidRPr="00BD0FED">
        <w:rPr>
          <w:rFonts w:ascii="Calibri" w:hAnsi="Calibri" w:cs="Calibri"/>
          <w:sz w:val="22"/>
          <w:szCs w:val="22"/>
        </w:rPr>
        <w:t>provisioned</w:t>
      </w:r>
      <w:proofErr w:type="gramEnd"/>
      <w:r w:rsidRPr="00BD0FED">
        <w:rPr>
          <w:rFonts w:ascii="Calibri" w:hAnsi="Calibri" w:cs="Calibri"/>
          <w:sz w:val="22"/>
          <w:szCs w:val="22"/>
        </w:rPr>
        <w:t xml:space="preserve"> with the minimum level of access and permissions required to perform their specific duties. This practice limits potential data exposure and aligns with established security controls.</w:t>
      </w:r>
    </w:p>
    <w:p w14:paraId="47C669E1" w14:textId="77777777" w:rsidR="00434FAC" w:rsidRPr="00B92B6E" w:rsidRDefault="00434FAC" w:rsidP="00D846DF">
      <w:pPr>
        <w:pStyle w:val="Heading3"/>
        <w:spacing w:after="0"/>
        <w:rPr>
          <w:rFonts w:ascii="Fira Sans" w:hAnsi="Fira Sans"/>
          <w:sz w:val="24"/>
          <w:szCs w:val="24"/>
        </w:rPr>
      </w:pPr>
      <w:bookmarkStart w:id="16" w:name="_Toc208822618"/>
      <w:r w:rsidRPr="00B92B6E">
        <w:rPr>
          <w:rFonts w:ascii="Fira Sans" w:hAnsi="Fira Sans"/>
          <w:sz w:val="24"/>
          <w:szCs w:val="24"/>
        </w:rPr>
        <w:t>4.2 Data Use and Protection in AI Systems</w:t>
      </w:r>
      <w:bookmarkEnd w:id="16"/>
    </w:p>
    <w:p w14:paraId="21D8C544" w14:textId="77777777" w:rsidR="00434FAC" w:rsidRPr="00BD0FED" w:rsidRDefault="00434FAC" w:rsidP="00D846DF">
      <w:pPr>
        <w:numPr>
          <w:ilvl w:val="0"/>
          <w:numId w:val="27"/>
        </w:numPr>
        <w:spacing w:after="0"/>
        <w:rPr>
          <w:rFonts w:ascii="Calibri" w:hAnsi="Calibri" w:cs="Calibri"/>
          <w:sz w:val="22"/>
          <w:szCs w:val="22"/>
        </w:rPr>
      </w:pPr>
      <w:r w:rsidRPr="00BD0FED">
        <w:rPr>
          <w:rFonts w:ascii="Calibri" w:hAnsi="Calibri" w:cs="Calibri"/>
          <w:sz w:val="22"/>
          <w:szCs w:val="22"/>
        </w:rPr>
        <w:t xml:space="preserve">Data Classification is Mandatory: Users are responsible for knowing the classification level of the data they handle. The act of inputting data into an AI system is a form of data use and is subject to </w:t>
      </w:r>
      <w:proofErr w:type="gramStart"/>
      <w:r w:rsidRPr="00BD0FED">
        <w:rPr>
          <w:rFonts w:ascii="Calibri" w:hAnsi="Calibri" w:cs="Calibri"/>
          <w:sz w:val="22"/>
          <w:szCs w:val="22"/>
        </w:rPr>
        <w:t>all of</w:t>
      </w:r>
      <w:proofErr w:type="gramEnd"/>
      <w:r w:rsidRPr="00BD0FED">
        <w:rPr>
          <w:rFonts w:ascii="Calibri" w:hAnsi="Calibri" w:cs="Calibri"/>
          <w:sz w:val="22"/>
          <w:szCs w:val="22"/>
        </w:rPr>
        <w:t xml:space="preserve"> the Nation's data protection and classification policies.</w:t>
      </w:r>
    </w:p>
    <w:p w14:paraId="14148418" w14:textId="52BD779F" w:rsidR="00434FAC" w:rsidRPr="00434FAC" w:rsidRDefault="00434FAC" w:rsidP="00D846DF">
      <w:pPr>
        <w:numPr>
          <w:ilvl w:val="0"/>
          <w:numId w:val="27"/>
        </w:numPr>
        <w:spacing w:after="0"/>
      </w:pPr>
      <w:r w:rsidRPr="00BD0FED">
        <w:rPr>
          <w:rFonts w:ascii="Calibri" w:hAnsi="Calibri" w:cs="Calibri"/>
          <w:sz w:val="22"/>
          <w:szCs w:val="22"/>
        </w:rPr>
        <w:t>Strict Prohibition on Sensitive Data in Public Tools: Under no circumstances may a user input data classified as Internal, Confidential, or Restricted into any public, free, or non-approved AI tool (e.g., the free public versions of ChatGPT, Google Gemini, Midjourney, etc.). Doing so constitutes a major security breach and a direct threat to the Nation's data sovereignty, as it places sovereign data outside the Nation's control and possession.</w:t>
      </w:r>
    </w:p>
    <w:p w14:paraId="721C3DA5" w14:textId="08E1F7B5" w:rsidR="00434FAC" w:rsidRPr="00BD0FED" w:rsidRDefault="00434FAC" w:rsidP="00D846DF">
      <w:pPr>
        <w:numPr>
          <w:ilvl w:val="0"/>
          <w:numId w:val="27"/>
        </w:numPr>
        <w:rPr>
          <w:rFonts w:ascii="Calibri" w:hAnsi="Calibri" w:cs="Calibri"/>
          <w:sz w:val="22"/>
          <w:szCs w:val="22"/>
        </w:rPr>
      </w:pPr>
      <w:r w:rsidRPr="00BD0FED">
        <w:rPr>
          <w:rFonts w:ascii="Calibri" w:hAnsi="Calibri" w:cs="Calibri"/>
          <w:sz w:val="22"/>
          <w:szCs w:val="22"/>
        </w:rPr>
        <w:t>Data Minimization: Users must strictly adhere to the principle of data minimization. When using any approved AI tool, only the absolute minimum amount of data necessary to accomplish the specific, authorized task should be provided as input. This is a foundational control for protecting the Nation's assets.</w:t>
      </w:r>
    </w:p>
    <w:p w14:paraId="4B77B825" w14:textId="77777777" w:rsidR="005A1C36" w:rsidRDefault="005A1C36" w:rsidP="00CE17AB">
      <w:pPr>
        <w:pStyle w:val="Heading3"/>
        <w:spacing w:after="0"/>
        <w:rPr>
          <w:rFonts w:ascii="Fira Sans" w:hAnsi="Fira Sans"/>
          <w:sz w:val="24"/>
          <w:szCs w:val="24"/>
        </w:rPr>
      </w:pPr>
      <w:r>
        <w:rPr>
          <w:rFonts w:ascii="Fira Sans" w:hAnsi="Fira Sans"/>
          <w:sz w:val="24"/>
          <w:szCs w:val="24"/>
        </w:rPr>
        <w:br w:type="page"/>
      </w:r>
    </w:p>
    <w:p w14:paraId="4075D43C" w14:textId="5F228C92" w:rsidR="00434FAC" w:rsidRPr="00B92B6E" w:rsidRDefault="00434FAC" w:rsidP="00CE17AB">
      <w:pPr>
        <w:pStyle w:val="Heading3"/>
        <w:spacing w:after="0"/>
        <w:rPr>
          <w:rFonts w:ascii="Fira Sans" w:hAnsi="Fira Sans"/>
          <w:sz w:val="24"/>
          <w:szCs w:val="24"/>
        </w:rPr>
      </w:pPr>
      <w:bookmarkStart w:id="17" w:name="_Toc208822619"/>
      <w:r w:rsidRPr="00B92B6E">
        <w:rPr>
          <w:rFonts w:ascii="Fira Sans" w:hAnsi="Fira Sans"/>
          <w:sz w:val="24"/>
          <w:szCs w:val="24"/>
        </w:rPr>
        <w:lastRenderedPageBreak/>
        <w:t>4.2.1 Data Classification and Permitted AI Use Guide</w:t>
      </w:r>
      <w:bookmarkEnd w:id="17"/>
    </w:p>
    <w:p w14:paraId="035BCDDA" w14:textId="77777777" w:rsidR="00434FAC" w:rsidRPr="00BD0FED" w:rsidRDefault="00434FAC" w:rsidP="00434FAC">
      <w:pPr>
        <w:rPr>
          <w:rFonts w:ascii="Calibri" w:hAnsi="Calibri" w:cs="Calibri"/>
          <w:sz w:val="22"/>
          <w:szCs w:val="22"/>
        </w:rPr>
      </w:pPr>
      <w:r w:rsidRPr="00BD0FED">
        <w:rPr>
          <w:rFonts w:ascii="Calibri" w:hAnsi="Calibri" w:cs="Calibri"/>
          <w:sz w:val="22"/>
          <w:szCs w:val="22"/>
        </w:rPr>
        <w:t>To provide clear, at-a-glance guidance, the following table outlines what types of data can be used in different categories of AI systems. This table serves as a primary reference for all end-users.</w:t>
      </w:r>
    </w:p>
    <w:tbl>
      <w:tblPr>
        <w:tblStyle w:val="GridTable4-Accent1"/>
        <w:tblW w:w="0" w:type="auto"/>
        <w:tblLook w:val="04A0" w:firstRow="1" w:lastRow="0" w:firstColumn="1" w:lastColumn="0" w:noHBand="0" w:noVBand="1"/>
      </w:tblPr>
      <w:tblGrid>
        <w:gridCol w:w="1453"/>
        <w:gridCol w:w="2944"/>
        <w:gridCol w:w="1594"/>
        <w:gridCol w:w="1806"/>
        <w:gridCol w:w="1553"/>
      </w:tblGrid>
      <w:tr w:rsidR="00612DCE" w:rsidRPr="00434FAC" w14:paraId="2E511EF3" w14:textId="77777777" w:rsidTr="008C5B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45B0E1" w:themeColor="accent1" w:themeTint="99"/>
            </w:tcBorders>
            <w:shd w:val="clear" w:color="auto" w:fill="A5C9EB" w:themeFill="text2" w:themeFillTint="40"/>
            <w:hideMark/>
          </w:tcPr>
          <w:p w14:paraId="73F4E5AE" w14:textId="77777777" w:rsidR="00434FAC" w:rsidRPr="006A339E" w:rsidRDefault="00434FAC" w:rsidP="00434FAC">
            <w:pPr>
              <w:rPr>
                <w:rFonts w:ascii="Calibri" w:hAnsi="Calibri" w:cs="Calibri"/>
                <w:color w:val="auto"/>
                <w:sz w:val="22"/>
                <w:szCs w:val="22"/>
              </w:rPr>
            </w:pPr>
            <w:r w:rsidRPr="006A339E">
              <w:rPr>
                <w:rFonts w:ascii="Calibri" w:hAnsi="Calibri" w:cs="Calibri"/>
                <w:color w:val="auto"/>
                <w:sz w:val="22"/>
                <w:szCs w:val="22"/>
              </w:rPr>
              <w:t>Data Classification</w:t>
            </w:r>
          </w:p>
        </w:tc>
        <w:tc>
          <w:tcPr>
            <w:tcW w:w="0" w:type="auto"/>
            <w:tcBorders>
              <w:left w:val="single" w:sz="4" w:space="0" w:color="45B0E1" w:themeColor="accent1" w:themeTint="99"/>
              <w:right w:val="single" w:sz="4" w:space="0" w:color="45B0E1" w:themeColor="accent1" w:themeTint="99"/>
            </w:tcBorders>
            <w:shd w:val="clear" w:color="auto" w:fill="A5C9EB" w:themeFill="text2" w:themeFillTint="40"/>
            <w:hideMark/>
          </w:tcPr>
          <w:p w14:paraId="151C3AFA" w14:textId="77777777" w:rsidR="00434FAC" w:rsidRPr="006A339E" w:rsidRDefault="00434FAC" w:rsidP="00434FAC">
            <w:pP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6A339E">
              <w:rPr>
                <w:rFonts w:ascii="Calibri" w:hAnsi="Calibri" w:cs="Calibri"/>
                <w:color w:val="auto"/>
                <w:sz w:val="22"/>
                <w:szCs w:val="22"/>
              </w:rPr>
              <w:t>Description &amp; Examples</w:t>
            </w:r>
          </w:p>
        </w:tc>
        <w:tc>
          <w:tcPr>
            <w:tcW w:w="0" w:type="auto"/>
            <w:tcBorders>
              <w:left w:val="single" w:sz="4" w:space="0" w:color="45B0E1" w:themeColor="accent1" w:themeTint="99"/>
              <w:right w:val="single" w:sz="4" w:space="0" w:color="45B0E1" w:themeColor="accent1" w:themeTint="99"/>
            </w:tcBorders>
            <w:shd w:val="clear" w:color="auto" w:fill="A5C9EB" w:themeFill="text2" w:themeFillTint="40"/>
            <w:hideMark/>
          </w:tcPr>
          <w:p w14:paraId="770F388C" w14:textId="77777777" w:rsidR="00434FAC" w:rsidRPr="006A339E" w:rsidRDefault="00434FAC" w:rsidP="00434FAC">
            <w:pP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6A339E">
              <w:rPr>
                <w:rFonts w:ascii="Calibri" w:hAnsi="Calibri" w:cs="Calibri"/>
                <w:color w:val="auto"/>
                <w:sz w:val="22"/>
                <w:szCs w:val="22"/>
              </w:rPr>
              <w:t>Permitted Use in Public/Free AI Tools (e.g., Free ChatGPT)</w:t>
            </w:r>
          </w:p>
        </w:tc>
        <w:tc>
          <w:tcPr>
            <w:tcW w:w="0" w:type="auto"/>
            <w:tcBorders>
              <w:left w:val="single" w:sz="4" w:space="0" w:color="45B0E1" w:themeColor="accent1" w:themeTint="99"/>
              <w:right w:val="single" w:sz="4" w:space="0" w:color="45B0E1" w:themeColor="accent1" w:themeTint="99"/>
            </w:tcBorders>
            <w:shd w:val="clear" w:color="auto" w:fill="A5C9EB" w:themeFill="text2" w:themeFillTint="40"/>
            <w:hideMark/>
          </w:tcPr>
          <w:p w14:paraId="1DF947C0" w14:textId="77777777" w:rsidR="00434FAC" w:rsidRPr="006A339E" w:rsidRDefault="00434FAC" w:rsidP="00434FAC">
            <w:pP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6A339E">
              <w:rPr>
                <w:rFonts w:ascii="Calibri" w:hAnsi="Calibri" w:cs="Calibri"/>
                <w:color w:val="auto"/>
                <w:sz w:val="22"/>
                <w:szCs w:val="22"/>
              </w:rPr>
              <w:t>Permitted Use in Approved Third-Party AI Tools (Vendor-provided, BAA/DSA in place)</w:t>
            </w:r>
          </w:p>
        </w:tc>
        <w:tc>
          <w:tcPr>
            <w:tcW w:w="0" w:type="auto"/>
            <w:tcBorders>
              <w:left w:val="single" w:sz="4" w:space="0" w:color="45B0E1" w:themeColor="accent1" w:themeTint="99"/>
            </w:tcBorders>
            <w:shd w:val="clear" w:color="auto" w:fill="A5C9EB" w:themeFill="text2" w:themeFillTint="40"/>
            <w:hideMark/>
          </w:tcPr>
          <w:p w14:paraId="7F425202" w14:textId="77777777" w:rsidR="00434FAC" w:rsidRPr="006A339E" w:rsidRDefault="00434FAC" w:rsidP="00434FAC">
            <w:pP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6A339E">
              <w:rPr>
                <w:rFonts w:ascii="Calibri" w:hAnsi="Calibri" w:cs="Calibri"/>
                <w:color w:val="auto"/>
                <w:sz w:val="22"/>
                <w:szCs w:val="22"/>
              </w:rPr>
              <w:t xml:space="preserve">Permitted Use in </w:t>
            </w:r>
            <w:proofErr w:type="gramStart"/>
            <w:r w:rsidRPr="006A339E">
              <w:rPr>
                <w:rFonts w:ascii="Calibri" w:hAnsi="Calibri" w:cs="Calibri"/>
                <w:color w:val="auto"/>
                <w:sz w:val="22"/>
                <w:szCs w:val="22"/>
              </w:rPr>
              <w:t>Tribally-Hosted</w:t>
            </w:r>
            <w:proofErr w:type="gramEnd"/>
            <w:r w:rsidRPr="006A339E">
              <w:rPr>
                <w:rFonts w:ascii="Calibri" w:hAnsi="Calibri" w:cs="Calibri"/>
                <w:color w:val="auto"/>
                <w:sz w:val="22"/>
                <w:szCs w:val="22"/>
              </w:rPr>
              <w:t xml:space="preserve"> Sovereign AI Tools</w:t>
            </w:r>
          </w:p>
        </w:tc>
      </w:tr>
      <w:tr w:rsidR="00434FAC" w:rsidRPr="00434FAC" w14:paraId="2F171C3C" w14:textId="77777777" w:rsidTr="006D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9F7" w:themeFill="text2" w:themeFillTint="1A"/>
            <w:hideMark/>
          </w:tcPr>
          <w:p w14:paraId="791D0C71" w14:textId="77777777" w:rsidR="00434FAC" w:rsidRPr="003C795A" w:rsidRDefault="00434FAC" w:rsidP="00434FAC">
            <w:pPr>
              <w:rPr>
                <w:rFonts w:ascii="Calibri" w:hAnsi="Calibri" w:cs="Calibri"/>
                <w:b w:val="0"/>
                <w:bCs w:val="0"/>
                <w:sz w:val="22"/>
                <w:szCs w:val="22"/>
              </w:rPr>
            </w:pPr>
            <w:r w:rsidRPr="003C795A">
              <w:rPr>
                <w:rFonts w:ascii="Calibri" w:hAnsi="Calibri" w:cs="Calibri"/>
                <w:b w:val="0"/>
                <w:bCs w:val="0"/>
                <w:sz w:val="22"/>
                <w:szCs w:val="22"/>
              </w:rPr>
              <w:t>Level 1: Public</w:t>
            </w:r>
          </w:p>
        </w:tc>
        <w:tc>
          <w:tcPr>
            <w:tcW w:w="0" w:type="auto"/>
            <w:shd w:val="clear" w:color="auto" w:fill="DAE9F7" w:themeFill="text2" w:themeFillTint="1A"/>
            <w:hideMark/>
          </w:tcPr>
          <w:p w14:paraId="6A7345C8"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Information already approved for public release. Press releases, public website content, published reports.</w:t>
            </w:r>
          </w:p>
        </w:tc>
        <w:tc>
          <w:tcPr>
            <w:tcW w:w="0" w:type="auto"/>
            <w:shd w:val="clear" w:color="auto" w:fill="DAE9F7" w:themeFill="text2" w:themeFillTint="1A"/>
            <w:hideMark/>
          </w:tcPr>
          <w:p w14:paraId="6348F7E0"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 (e.g., "Summarize this public press release.")</w:t>
            </w:r>
          </w:p>
        </w:tc>
        <w:tc>
          <w:tcPr>
            <w:tcW w:w="0" w:type="auto"/>
            <w:shd w:val="clear" w:color="auto" w:fill="DAE9F7" w:themeFill="text2" w:themeFillTint="1A"/>
            <w:hideMark/>
          </w:tcPr>
          <w:p w14:paraId="015A2DA3"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w:t>
            </w:r>
          </w:p>
        </w:tc>
        <w:tc>
          <w:tcPr>
            <w:tcW w:w="0" w:type="auto"/>
            <w:shd w:val="clear" w:color="auto" w:fill="DAE9F7" w:themeFill="text2" w:themeFillTint="1A"/>
            <w:hideMark/>
          </w:tcPr>
          <w:p w14:paraId="7B9570D9"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w:t>
            </w:r>
          </w:p>
        </w:tc>
      </w:tr>
      <w:tr w:rsidR="00434FAC" w:rsidRPr="00434FAC" w14:paraId="438B5297" w14:textId="77777777" w:rsidTr="00277CEB">
        <w:tc>
          <w:tcPr>
            <w:cnfStyle w:val="001000000000" w:firstRow="0" w:lastRow="0" w:firstColumn="1" w:lastColumn="0" w:oddVBand="0" w:evenVBand="0" w:oddHBand="0" w:evenHBand="0" w:firstRowFirstColumn="0" w:firstRowLastColumn="0" w:lastRowFirstColumn="0" w:lastRowLastColumn="0"/>
            <w:tcW w:w="0" w:type="auto"/>
            <w:hideMark/>
          </w:tcPr>
          <w:p w14:paraId="24A3024A" w14:textId="77777777" w:rsidR="00434FAC" w:rsidRPr="003C795A" w:rsidRDefault="00434FAC" w:rsidP="00434FAC">
            <w:pPr>
              <w:rPr>
                <w:rFonts w:ascii="Calibri" w:hAnsi="Calibri" w:cs="Calibri"/>
                <w:b w:val="0"/>
                <w:bCs w:val="0"/>
                <w:sz w:val="22"/>
                <w:szCs w:val="22"/>
              </w:rPr>
            </w:pPr>
            <w:r w:rsidRPr="003C795A">
              <w:rPr>
                <w:rFonts w:ascii="Calibri" w:hAnsi="Calibri" w:cs="Calibri"/>
                <w:b w:val="0"/>
                <w:bCs w:val="0"/>
                <w:sz w:val="22"/>
                <w:szCs w:val="22"/>
              </w:rPr>
              <w:t>Level 2: Internal</w:t>
            </w:r>
          </w:p>
        </w:tc>
        <w:tc>
          <w:tcPr>
            <w:tcW w:w="0" w:type="auto"/>
            <w:hideMark/>
          </w:tcPr>
          <w:p w14:paraId="1C9B9838"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Routine internal business communications not for public release. Draft documents, meeting minutes, internal memos.</w:t>
            </w:r>
          </w:p>
        </w:tc>
        <w:tc>
          <w:tcPr>
            <w:tcW w:w="0" w:type="auto"/>
            <w:hideMark/>
          </w:tcPr>
          <w:p w14:paraId="182B4CD3"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PROHIBITED</w:t>
            </w:r>
          </w:p>
        </w:tc>
        <w:tc>
          <w:tcPr>
            <w:tcW w:w="0" w:type="auto"/>
            <w:hideMark/>
          </w:tcPr>
          <w:p w14:paraId="502F0222"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 with Caution (Check system-specific guidelines)</w:t>
            </w:r>
          </w:p>
        </w:tc>
        <w:tc>
          <w:tcPr>
            <w:tcW w:w="0" w:type="auto"/>
            <w:hideMark/>
          </w:tcPr>
          <w:p w14:paraId="3671B722"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w:t>
            </w:r>
          </w:p>
        </w:tc>
      </w:tr>
      <w:tr w:rsidR="00434FAC" w:rsidRPr="00434FAC" w14:paraId="25D70B33" w14:textId="77777777" w:rsidTr="006D7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9F7" w:themeFill="text2" w:themeFillTint="1A"/>
            <w:hideMark/>
          </w:tcPr>
          <w:p w14:paraId="52EC5062" w14:textId="77777777" w:rsidR="00434FAC" w:rsidRPr="003C795A" w:rsidRDefault="00434FAC" w:rsidP="00434FAC">
            <w:pPr>
              <w:rPr>
                <w:rFonts w:ascii="Calibri" w:hAnsi="Calibri" w:cs="Calibri"/>
                <w:b w:val="0"/>
                <w:bCs w:val="0"/>
                <w:sz w:val="22"/>
                <w:szCs w:val="22"/>
              </w:rPr>
            </w:pPr>
            <w:r w:rsidRPr="003C795A">
              <w:rPr>
                <w:rFonts w:ascii="Calibri" w:hAnsi="Calibri" w:cs="Calibri"/>
                <w:b w:val="0"/>
                <w:bCs w:val="0"/>
                <w:sz w:val="22"/>
                <w:szCs w:val="22"/>
              </w:rPr>
              <w:t>Level 3: Confidential</w:t>
            </w:r>
          </w:p>
        </w:tc>
        <w:tc>
          <w:tcPr>
            <w:tcW w:w="0" w:type="auto"/>
            <w:shd w:val="clear" w:color="auto" w:fill="DAE9F7" w:themeFill="text2" w:themeFillTint="1A"/>
            <w:hideMark/>
          </w:tcPr>
          <w:p w14:paraId="4ED49E29"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Sensitive business data that could harm the Nation if disclosed. Employee PII, non-public financial data, legal contracts, strategic plans.</w:t>
            </w:r>
          </w:p>
        </w:tc>
        <w:tc>
          <w:tcPr>
            <w:tcW w:w="0" w:type="auto"/>
            <w:shd w:val="clear" w:color="auto" w:fill="DAE9F7" w:themeFill="text2" w:themeFillTint="1A"/>
            <w:hideMark/>
          </w:tcPr>
          <w:p w14:paraId="4DC46D93"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STRICTLY PROHIBITED</w:t>
            </w:r>
          </w:p>
        </w:tc>
        <w:tc>
          <w:tcPr>
            <w:tcW w:w="0" w:type="auto"/>
            <w:shd w:val="clear" w:color="auto" w:fill="DAE9F7" w:themeFill="text2" w:themeFillTint="1A"/>
            <w:hideMark/>
          </w:tcPr>
          <w:p w14:paraId="03AC82B6"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 ONLY in systems explicitly approved for this data level.</w:t>
            </w:r>
          </w:p>
        </w:tc>
        <w:tc>
          <w:tcPr>
            <w:tcW w:w="0" w:type="auto"/>
            <w:shd w:val="clear" w:color="auto" w:fill="DAE9F7" w:themeFill="text2" w:themeFillTint="1A"/>
            <w:hideMark/>
          </w:tcPr>
          <w:p w14:paraId="0C1F3F96" w14:textId="77777777" w:rsidR="00434FAC" w:rsidRPr="00612DCE" w:rsidRDefault="00434FAC" w:rsidP="00434FAC">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w:t>
            </w:r>
          </w:p>
        </w:tc>
      </w:tr>
      <w:tr w:rsidR="00434FAC" w:rsidRPr="00434FAC" w14:paraId="07376493" w14:textId="77777777" w:rsidTr="00277CEB">
        <w:tc>
          <w:tcPr>
            <w:cnfStyle w:val="001000000000" w:firstRow="0" w:lastRow="0" w:firstColumn="1" w:lastColumn="0" w:oddVBand="0" w:evenVBand="0" w:oddHBand="0" w:evenHBand="0" w:firstRowFirstColumn="0" w:firstRowLastColumn="0" w:lastRowFirstColumn="0" w:lastRowLastColumn="0"/>
            <w:tcW w:w="0" w:type="auto"/>
            <w:hideMark/>
          </w:tcPr>
          <w:p w14:paraId="45D575B9" w14:textId="77777777" w:rsidR="00434FAC" w:rsidRPr="003C795A" w:rsidRDefault="00434FAC" w:rsidP="00434FAC">
            <w:pPr>
              <w:rPr>
                <w:rFonts w:ascii="Calibri" w:hAnsi="Calibri" w:cs="Calibri"/>
                <w:b w:val="0"/>
                <w:bCs w:val="0"/>
                <w:sz w:val="22"/>
                <w:szCs w:val="22"/>
              </w:rPr>
            </w:pPr>
            <w:r w:rsidRPr="003C795A">
              <w:rPr>
                <w:rFonts w:ascii="Calibri" w:hAnsi="Calibri" w:cs="Calibri"/>
                <w:b w:val="0"/>
                <w:bCs w:val="0"/>
                <w:sz w:val="22"/>
                <w:szCs w:val="22"/>
              </w:rPr>
              <w:t>Level 4: Restricted</w:t>
            </w:r>
          </w:p>
        </w:tc>
        <w:tc>
          <w:tcPr>
            <w:tcW w:w="0" w:type="auto"/>
            <w:hideMark/>
          </w:tcPr>
          <w:p w14:paraId="29121E03"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The Nation's most sensitive data, protected by law or Tribal custom. Tribal Member PII, Player Data (Gaming), Cultural/Ceremonial Info, Protected Health Information (PHI).</w:t>
            </w:r>
          </w:p>
        </w:tc>
        <w:tc>
          <w:tcPr>
            <w:tcW w:w="0" w:type="auto"/>
            <w:hideMark/>
          </w:tcPr>
          <w:p w14:paraId="371630D5"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STRICTLY PROHIBITED</w:t>
            </w:r>
          </w:p>
        </w:tc>
        <w:tc>
          <w:tcPr>
            <w:tcW w:w="0" w:type="auto"/>
            <w:hideMark/>
          </w:tcPr>
          <w:p w14:paraId="695C29C0"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 xml:space="preserve">PROHIBITED (Except for specific, </w:t>
            </w:r>
            <w:proofErr w:type="gramStart"/>
            <w:r w:rsidRPr="00612DCE">
              <w:rPr>
                <w:rFonts w:ascii="Calibri" w:hAnsi="Calibri" w:cs="Calibri"/>
                <w:sz w:val="22"/>
                <w:szCs w:val="22"/>
              </w:rPr>
              <w:t>highly-vetted</w:t>
            </w:r>
            <w:proofErr w:type="gramEnd"/>
            <w:r w:rsidRPr="00612DCE">
              <w:rPr>
                <w:rFonts w:ascii="Calibri" w:hAnsi="Calibri" w:cs="Calibri"/>
                <w:sz w:val="22"/>
                <w:szCs w:val="22"/>
              </w:rPr>
              <w:t xml:space="preserve"> Health &amp; Gaming systems under strict controls)</w:t>
            </w:r>
          </w:p>
        </w:tc>
        <w:tc>
          <w:tcPr>
            <w:tcW w:w="0" w:type="auto"/>
            <w:hideMark/>
          </w:tcPr>
          <w:p w14:paraId="0FBAAACE" w14:textId="77777777" w:rsidR="00434FAC" w:rsidRPr="00612DCE" w:rsidRDefault="00434FAC" w:rsidP="00434FA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2DCE">
              <w:rPr>
                <w:rFonts w:ascii="Calibri" w:hAnsi="Calibri" w:cs="Calibri"/>
                <w:sz w:val="22"/>
                <w:szCs w:val="22"/>
              </w:rPr>
              <w:t>Permitted ONLY in designated, isolated, and audited systems.</w:t>
            </w:r>
          </w:p>
        </w:tc>
      </w:tr>
    </w:tbl>
    <w:p w14:paraId="731A16AB" w14:textId="77777777" w:rsidR="00434FAC" w:rsidRPr="00B92B6E" w:rsidRDefault="00434FAC" w:rsidP="00CE17AB">
      <w:pPr>
        <w:pStyle w:val="Heading3"/>
        <w:spacing w:after="0"/>
        <w:rPr>
          <w:rFonts w:ascii="Fira Sans" w:hAnsi="Fira Sans"/>
          <w:sz w:val="24"/>
          <w:szCs w:val="24"/>
        </w:rPr>
      </w:pPr>
      <w:bookmarkStart w:id="18" w:name="_Toc208822620"/>
      <w:r w:rsidRPr="00B92B6E">
        <w:rPr>
          <w:rFonts w:ascii="Fira Sans" w:hAnsi="Fira Sans"/>
          <w:sz w:val="24"/>
          <w:szCs w:val="24"/>
        </w:rPr>
        <w:t>4.3 Prohibited Uses of AI</w:t>
      </w:r>
      <w:bookmarkEnd w:id="18"/>
    </w:p>
    <w:p w14:paraId="4AE491F6" w14:textId="77777777" w:rsidR="00434FAC" w:rsidRPr="00BD0FED" w:rsidRDefault="00434FAC" w:rsidP="00BD0FED">
      <w:pPr>
        <w:spacing w:after="0"/>
        <w:rPr>
          <w:rFonts w:ascii="Calibri" w:hAnsi="Calibri" w:cs="Calibri"/>
          <w:sz w:val="22"/>
          <w:szCs w:val="22"/>
        </w:rPr>
      </w:pPr>
      <w:r w:rsidRPr="00BD0FED">
        <w:rPr>
          <w:rFonts w:ascii="Calibri" w:hAnsi="Calibri" w:cs="Calibri"/>
          <w:sz w:val="22"/>
          <w:szCs w:val="22"/>
        </w:rPr>
        <w:t>The following uses of AI technology are strictly prohibited:</w:t>
      </w:r>
    </w:p>
    <w:p w14:paraId="3DC05D50" w14:textId="40F87E4C" w:rsidR="00434FAC" w:rsidRPr="00BD0FED" w:rsidRDefault="00434FAC" w:rsidP="00BD0FED">
      <w:pPr>
        <w:numPr>
          <w:ilvl w:val="0"/>
          <w:numId w:val="28"/>
        </w:numPr>
        <w:spacing w:after="0"/>
        <w:rPr>
          <w:rFonts w:ascii="Calibri" w:hAnsi="Calibri" w:cs="Calibri"/>
          <w:sz w:val="22"/>
          <w:szCs w:val="22"/>
        </w:rPr>
      </w:pPr>
      <w:r w:rsidRPr="00BD0FED">
        <w:rPr>
          <w:rFonts w:ascii="Calibri" w:hAnsi="Calibri" w:cs="Calibri"/>
          <w:sz w:val="22"/>
          <w:szCs w:val="22"/>
        </w:rPr>
        <w:t>Engaging in any activity that is illegal under Tribal, federal, or applicable state law, or that violates any other policy of the [TRIBAL ENTITY].</w:t>
      </w:r>
    </w:p>
    <w:p w14:paraId="17C8A2D4" w14:textId="3C194559" w:rsidR="00434FAC" w:rsidRPr="00BD0FED" w:rsidRDefault="00434FAC" w:rsidP="00BD0FED">
      <w:pPr>
        <w:numPr>
          <w:ilvl w:val="0"/>
          <w:numId w:val="28"/>
        </w:numPr>
        <w:spacing w:after="0"/>
        <w:rPr>
          <w:rFonts w:ascii="Calibri" w:hAnsi="Calibri" w:cs="Calibri"/>
          <w:sz w:val="22"/>
          <w:szCs w:val="22"/>
        </w:rPr>
      </w:pPr>
      <w:r w:rsidRPr="00BD0FED">
        <w:rPr>
          <w:rFonts w:ascii="Calibri" w:hAnsi="Calibri" w:cs="Calibri"/>
          <w:sz w:val="22"/>
          <w:szCs w:val="22"/>
        </w:rPr>
        <w:t>Creating or knowingly disseminating disinformation, "deepfake" content of individuals, or other malicious, fraudulent, or deceptive materials.</w:t>
      </w:r>
    </w:p>
    <w:p w14:paraId="071B4D8D" w14:textId="29F2017C" w:rsidR="00434FAC" w:rsidRPr="00BD0FED" w:rsidRDefault="00434FAC" w:rsidP="00BD0FED">
      <w:pPr>
        <w:numPr>
          <w:ilvl w:val="0"/>
          <w:numId w:val="28"/>
        </w:numPr>
        <w:spacing w:after="0"/>
        <w:rPr>
          <w:rFonts w:ascii="Calibri" w:hAnsi="Calibri" w:cs="Calibri"/>
          <w:sz w:val="22"/>
          <w:szCs w:val="22"/>
        </w:rPr>
      </w:pPr>
      <w:r w:rsidRPr="00BD0FED">
        <w:rPr>
          <w:rFonts w:ascii="Calibri" w:hAnsi="Calibri" w:cs="Calibri"/>
          <w:sz w:val="22"/>
          <w:szCs w:val="22"/>
        </w:rPr>
        <w:t>Infringing on copyright, trademark, intellectual property rights, or the cultural and intellectual property rights of the Nation or any other party.</w:t>
      </w:r>
    </w:p>
    <w:p w14:paraId="3D7AC5FB" w14:textId="77777777" w:rsidR="00434FAC" w:rsidRPr="00BD0FED" w:rsidRDefault="00434FAC" w:rsidP="00BD0FED">
      <w:pPr>
        <w:numPr>
          <w:ilvl w:val="0"/>
          <w:numId w:val="28"/>
        </w:numPr>
        <w:spacing w:after="0"/>
        <w:rPr>
          <w:rFonts w:ascii="Calibri" w:hAnsi="Calibri" w:cs="Calibri"/>
          <w:sz w:val="22"/>
          <w:szCs w:val="22"/>
        </w:rPr>
      </w:pPr>
      <w:r w:rsidRPr="00BD0FED">
        <w:rPr>
          <w:rFonts w:ascii="Calibri" w:hAnsi="Calibri" w:cs="Calibri"/>
          <w:sz w:val="22"/>
          <w:szCs w:val="22"/>
        </w:rPr>
        <w:t>Using AI to harass, discriminate against, defame, or threaten any individual or group.</w:t>
      </w:r>
    </w:p>
    <w:p w14:paraId="2A0A0B05" w14:textId="77777777" w:rsidR="00434FAC" w:rsidRPr="00BD0FED" w:rsidRDefault="00434FAC" w:rsidP="00BD0FED">
      <w:pPr>
        <w:numPr>
          <w:ilvl w:val="0"/>
          <w:numId w:val="28"/>
        </w:numPr>
        <w:spacing w:after="0"/>
        <w:rPr>
          <w:rFonts w:ascii="Calibri" w:hAnsi="Calibri" w:cs="Calibri"/>
          <w:sz w:val="22"/>
          <w:szCs w:val="22"/>
        </w:rPr>
      </w:pPr>
      <w:r w:rsidRPr="00BD0FED">
        <w:rPr>
          <w:rFonts w:ascii="Calibri" w:hAnsi="Calibri" w:cs="Calibri"/>
          <w:sz w:val="22"/>
          <w:szCs w:val="22"/>
        </w:rPr>
        <w:lastRenderedPageBreak/>
        <w:t xml:space="preserve">Using AI to surveil employees or community members, unless explicitly authorized as part of a formal, transparent, and </w:t>
      </w:r>
      <w:proofErr w:type="gramStart"/>
      <w:r w:rsidRPr="00BD0FED">
        <w:rPr>
          <w:rFonts w:ascii="Calibri" w:hAnsi="Calibri" w:cs="Calibri"/>
          <w:sz w:val="22"/>
          <w:szCs w:val="22"/>
        </w:rPr>
        <w:t>legally-sanctioned</w:t>
      </w:r>
      <w:proofErr w:type="gramEnd"/>
      <w:r w:rsidRPr="00BD0FED">
        <w:rPr>
          <w:rFonts w:ascii="Calibri" w:hAnsi="Calibri" w:cs="Calibri"/>
          <w:sz w:val="22"/>
          <w:szCs w:val="22"/>
        </w:rPr>
        <w:t xml:space="preserve"> security protocol.</w:t>
      </w:r>
    </w:p>
    <w:p w14:paraId="5E559AAD" w14:textId="76E76991" w:rsidR="00434FAC" w:rsidRPr="00BD0FED" w:rsidRDefault="00434FAC" w:rsidP="00BD0FED">
      <w:pPr>
        <w:numPr>
          <w:ilvl w:val="0"/>
          <w:numId w:val="28"/>
        </w:numPr>
        <w:rPr>
          <w:rFonts w:ascii="Calibri" w:hAnsi="Calibri" w:cs="Calibri"/>
          <w:sz w:val="22"/>
          <w:szCs w:val="22"/>
        </w:rPr>
      </w:pPr>
      <w:r w:rsidRPr="00BD0FED">
        <w:rPr>
          <w:rFonts w:ascii="Calibri" w:hAnsi="Calibri" w:cs="Calibri"/>
          <w:sz w:val="22"/>
          <w:szCs w:val="22"/>
        </w:rPr>
        <w:t>Attempting to bypass security controls, reverse-engineer proprietary models, or conduct adversarial attacks such as "prompt injection" to manipulate AI outputs or expose underlying data.</w:t>
      </w:r>
    </w:p>
    <w:p w14:paraId="151BD337" w14:textId="77777777" w:rsidR="00434FAC" w:rsidRPr="00B92B6E" w:rsidRDefault="00434FAC" w:rsidP="00CE17AB">
      <w:pPr>
        <w:pStyle w:val="Heading3"/>
        <w:spacing w:after="0"/>
        <w:rPr>
          <w:rFonts w:ascii="Fira Sans" w:hAnsi="Fira Sans"/>
          <w:sz w:val="24"/>
          <w:szCs w:val="24"/>
        </w:rPr>
      </w:pPr>
      <w:bookmarkStart w:id="19" w:name="_Toc208822621"/>
      <w:r w:rsidRPr="00B92B6E">
        <w:rPr>
          <w:rFonts w:ascii="Fira Sans" w:hAnsi="Fira Sans"/>
          <w:sz w:val="24"/>
          <w:szCs w:val="24"/>
        </w:rPr>
        <w:t>4.4 Use of Public and Third-Party AI Tools ("Shadow AI")</w:t>
      </w:r>
      <w:bookmarkEnd w:id="19"/>
    </w:p>
    <w:p w14:paraId="67829BD3" w14:textId="29650F13" w:rsidR="00434FAC" w:rsidRPr="00BD0FED" w:rsidRDefault="00434FAC" w:rsidP="00BD0FED">
      <w:pPr>
        <w:numPr>
          <w:ilvl w:val="0"/>
          <w:numId w:val="29"/>
        </w:numPr>
        <w:spacing w:after="0"/>
        <w:rPr>
          <w:rFonts w:ascii="Calibri" w:hAnsi="Calibri" w:cs="Calibri"/>
          <w:sz w:val="22"/>
          <w:szCs w:val="22"/>
        </w:rPr>
      </w:pPr>
      <w:r w:rsidRPr="00BD0FED">
        <w:rPr>
          <w:rFonts w:ascii="Calibri" w:hAnsi="Calibri" w:cs="Calibri"/>
          <w:sz w:val="22"/>
          <w:szCs w:val="22"/>
        </w:rPr>
        <w:t>The unauthorized use of AI applications, browser plug-ins, or software not formally approved by the IT Department is known as "Shadow AI" and is strictly prohibited. Shadow AI introduces uncontrollable risks to data security, privacy, and sovereignty, as the Nation has no visibility into or control over how its data is being used, stored, or shared by these unauthorized tools.</w:t>
      </w:r>
    </w:p>
    <w:p w14:paraId="18A0EC5C" w14:textId="313B118C" w:rsidR="00434FAC" w:rsidRPr="00BD0FED" w:rsidRDefault="00434FAC" w:rsidP="00BD0FED">
      <w:pPr>
        <w:numPr>
          <w:ilvl w:val="0"/>
          <w:numId w:val="29"/>
        </w:numPr>
        <w:rPr>
          <w:rFonts w:ascii="Calibri" w:hAnsi="Calibri" w:cs="Calibri"/>
          <w:sz w:val="22"/>
          <w:szCs w:val="22"/>
        </w:rPr>
      </w:pPr>
      <w:r w:rsidRPr="00BD0FED">
        <w:rPr>
          <w:rFonts w:ascii="Calibri" w:hAnsi="Calibri" w:cs="Calibri"/>
          <w:sz w:val="22"/>
          <w:szCs w:val="22"/>
        </w:rPr>
        <w:t>Any request to procure or use a new third-party AI tool must be submitted to the IT Department. The tool will undergo a formal vendor and third-party risk management review. This review will rigorously assess the vendor's security practices, data handling policies, and jurisdictional posture. Crucially, the review will evaluate the vendor's ability and willingness to comply with the Nation's OCAP® and CARE principles, which will be a determining factor in the approval process.</w:t>
      </w:r>
    </w:p>
    <w:p w14:paraId="70983ED0" w14:textId="77777777" w:rsidR="00434FAC" w:rsidRPr="00B92B6E" w:rsidRDefault="00434FAC" w:rsidP="00CE17AB">
      <w:pPr>
        <w:pStyle w:val="Heading3"/>
        <w:spacing w:after="0"/>
        <w:rPr>
          <w:rFonts w:ascii="Fira Sans" w:hAnsi="Fira Sans"/>
          <w:sz w:val="24"/>
          <w:szCs w:val="24"/>
        </w:rPr>
      </w:pPr>
      <w:bookmarkStart w:id="20" w:name="_Toc208822622"/>
      <w:r w:rsidRPr="00B92B6E">
        <w:rPr>
          <w:rFonts w:ascii="Fira Sans" w:hAnsi="Fira Sans"/>
          <w:sz w:val="24"/>
          <w:szCs w:val="24"/>
        </w:rPr>
        <w:t>4.5 Verification, Accuracy, and Avoiding Overreliance</w:t>
      </w:r>
      <w:bookmarkEnd w:id="20"/>
    </w:p>
    <w:p w14:paraId="1BAEB703" w14:textId="6BF1378E" w:rsidR="00434FAC" w:rsidRPr="00BD0FED" w:rsidRDefault="00434FAC" w:rsidP="00BD0FED">
      <w:pPr>
        <w:numPr>
          <w:ilvl w:val="0"/>
          <w:numId w:val="30"/>
        </w:numPr>
        <w:spacing w:after="0"/>
        <w:rPr>
          <w:rFonts w:ascii="Calibri" w:hAnsi="Calibri" w:cs="Calibri"/>
          <w:sz w:val="22"/>
          <w:szCs w:val="22"/>
        </w:rPr>
      </w:pPr>
      <w:r w:rsidRPr="00BD0FED">
        <w:rPr>
          <w:rFonts w:ascii="Calibri" w:hAnsi="Calibri" w:cs="Calibri"/>
          <w:sz w:val="22"/>
          <w:szCs w:val="22"/>
        </w:rPr>
        <w:t>AI-generated content, particularly from large language models, is not infallible. It can be inaccurate, biased, or entirely fabricated (a phenomenon known as "hallucination"). The user who employs an AI tool is ultimately accountable for the accuracy and appropriateness of the final work product.</w:t>
      </w:r>
    </w:p>
    <w:p w14:paraId="18AFB4E6" w14:textId="77777777" w:rsidR="00434FAC" w:rsidRPr="00BD0FED" w:rsidRDefault="00434FAC" w:rsidP="00BD0FED">
      <w:pPr>
        <w:numPr>
          <w:ilvl w:val="0"/>
          <w:numId w:val="30"/>
        </w:numPr>
        <w:spacing w:after="0"/>
        <w:rPr>
          <w:rFonts w:ascii="Calibri" w:hAnsi="Calibri" w:cs="Calibri"/>
          <w:sz w:val="22"/>
          <w:szCs w:val="22"/>
        </w:rPr>
      </w:pPr>
      <w:r w:rsidRPr="00BD0FED">
        <w:rPr>
          <w:rFonts w:ascii="Calibri" w:hAnsi="Calibri" w:cs="Calibri"/>
          <w:sz w:val="22"/>
          <w:szCs w:val="22"/>
        </w:rPr>
        <w:t>All AI-generated information that is to be used in official documents, reports, decision-making processes, or external communications must be independently verified for accuracy and factual correctness by a qualified human.</w:t>
      </w:r>
    </w:p>
    <w:p w14:paraId="27BBA7FC" w14:textId="0176284C" w:rsidR="00434FAC" w:rsidRPr="00BD0FED" w:rsidRDefault="00434FAC" w:rsidP="00BD0FED">
      <w:pPr>
        <w:numPr>
          <w:ilvl w:val="0"/>
          <w:numId w:val="30"/>
        </w:numPr>
        <w:rPr>
          <w:rFonts w:ascii="Calibri" w:hAnsi="Calibri" w:cs="Calibri"/>
          <w:sz w:val="22"/>
          <w:szCs w:val="22"/>
        </w:rPr>
      </w:pPr>
      <w:r w:rsidRPr="00BD0FED">
        <w:rPr>
          <w:rFonts w:ascii="Calibri" w:hAnsi="Calibri" w:cs="Calibri"/>
          <w:sz w:val="22"/>
          <w:szCs w:val="22"/>
        </w:rPr>
        <w:t>AI systems are to be regarded as tools that assist human judgment, not as replacements for it. Overreliance on AI outputs without applying critical thinking and expert scrutiny is a violation of this policy and can lead to significant errors and poor decisions.</w:t>
      </w:r>
    </w:p>
    <w:p w14:paraId="65282C83" w14:textId="77777777" w:rsidR="00434FAC" w:rsidRPr="00B92B6E" w:rsidRDefault="00434FAC" w:rsidP="00CE17AB">
      <w:pPr>
        <w:pStyle w:val="Heading3"/>
        <w:spacing w:after="0"/>
        <w:rPr>
          <w:rFonts w:ascii="Fira Sans" w:hAnsi="Fira Sans"/>
          <w:sz w:val="24"/>
          <w:szCs w:val="24"/>
        </w:rPr>
      </w:pPr>
      <w:bookmarkStart w:id="21" w:name="_Toc208822623"/>
      <w:r w:rsidRPr="00B92B6E">
        <w:rPr>
          <w:rFonts w:ascii="Fira Sans" w:hAnsi="Fira Sans"/>
          <w:sz w:val="24"/>
          <w:szCs w:val="24"/>
        </w:rPr>
        <w:t>4.6 Security Responsibilities and Incident Reporting</w:t>
      </w:r>
      <w:bookmarkEnd w:id="21"/>
    </w:p>
    <w:p w14:paraId="51407FBF" w14:textId="3CF87E27" w:rsidR="00434FAC" w:rsidRPr="00BD0FED" w:rsidRDefault="00434FAC" w:rsidP="00BD0FED">
      <w:pPr>
        <w:numPr>
          <w:ilvl w:val="0"/>
          <w:numId w:val="31"/>
        </w:numPr>
        <w:spacing w:after="0"/>
        <w:rPr>
          <w:rFonts w:ascii="Calibri" w:hAnsi="Calibri" w:cs="Calibri"/>
          <w:sz w:val="22"/>
          <w:szCs w:val="22"/>
        </w:rPr>
      </w:pPr>
      <w:r w:rsidRPr="00BD0FED">
        <w:rPr>
          <w:rFonts w:ascii="Calibri" w:hAnsi="Calibri" w:cs="Calibri"/>
          <w:sz w:val="22"/>
          <w:szCs w:val="22"/>
        </w:rPr>
        <w:t>Users are a critical part of the Nation's security posture. Any suspected security incident, data breach, anomalous AI behavior, or potential policy violation must be reported immediately to the IT Department. Prompt reporting is essential for an effective incident response.</w:t>
      </w:r>
    </w:p>
    <w:p w14:paraId="32719A47" w14:textId="77777777" w:rsidR="00434FAC" w:rsidRPr="00BD0FED" w:rsidRDefault="00434FAC" w:rsidP="00BD0FED">
      <w:pPr>
        <w:numPr>
          <w:ilvl w:val="0"/>
          <w:numId w:val="31"/>
        </w:numPr>
        <w:rPr>
          <w:rFonts w:ascii="Calibri" w:hAnsi="Calibri" w:cs="Calibri"/>
          <w:sz w:val="22"/>
          <w:szCs w:val="22"/>
        </w:rPr>
      </w:pPr>
      <w:r w:rsidRPr="00BD0FED">
        <w:rPr>
          <w:rFonts w:ascii="Calibri" w:hAnsi="Calibri" w:cs="Calibri"/>
          <w:sz w:val="22"/>
          <w:szCs w:val="22"/>
        </w:rPr>
        <w:t>Users are responsible for safeguarding their login credentials for all approved systems. Sharing of accounts or credentials for AI systems is strictly prohibited.</w:t>
      </w:r>
    </w:p>
    <w:p w14:paraId="4B38721B" w14:textId="77777777" w:rsidR="00434FAC" w:rsidRPr="00B92B6E" w:rsidRDefault="00434FAC" w:rsidP="00CE17AB">
      <w:pPr>
        <w:pStyle w:val="Heading3"/>
        <w:spacing w:after="0"/>
        <w:rPr>
          <w:rFonts w:ascii="Fira Sans" w:hAnsi="Fira Sans"/>
          <w:sz w:val="24"/>
          <w:szCs w:val="24"/>
        </w:rPr>
      </w:pPr>
      <w:bookmarkStart w:id="22" w:name="_Toc208822624"/>
      <w:r w:rsidRPr="00B92B6E">
        <w:rPr>
          <w:rFonts w:ascii="Fira Sans" w:hAnsi="Fira Sans"/>
          <w:sz w:val="24"/>
          <w:szCs w:val="24"/>
        </w:rPr>
        <w:lastRenderedPageBreak/>
        <w:t>4.7 User Accountability and Monitoring</w:t>
      </w:r>
      <w:bookmarkEnd w:id="22"/>
    </w:p>
    <w:p w14:paraId="4F7E4741" w14:textId="0C2154FD" w:rsidR="00434FAC" w:rsidRPr="00BD0FED" w:rsidRDefault="00434FAC" w:rsidP="00BD0FED">
      <w:pPr>
        <w:numPr>
          <w:ilvl w:val="0"/>
          <w:numId w:val="32"/>
        </w:numPr>
        <w:spacing w:after="0"/>
        <w:rPr>
          <w:rFonts w:ascii="Calibri" w:hAnsi="Calibri" w:cs="Calibri"/>
          <w:sz w:val="22"/>
          <w:szCs w:val="22"/>
        </w:rPr>
      </w:pPr>
      <w:r w:rsidRPr="00BD0FED">
        <w:rPr>
          <w:rFonts w:ascii="Calibri" w:hAnsi="Calibri" w:cs="Calibri"/>
          <w:sz w:val="22"/>
          <w:szCs w:val="22"/>
        </w:rPr>
        <w:t>To ensure compliance with this policy and protect the Nation's assets, all user interactions with approved AI systems—including inputs, queries, and outputs—may be logged and monitored by authorized personnel. This is a required control for security and compliance auditing.</w:t>
      </w:r>
    </w:p>
    <w:p w14:paraId="3A807376" w14:textId="77777777" w:rsidR="00434FAC" w:rsidRPr="00BD0FED" w:rsidRDefault="00434FAC" w:rsidP="00BD0FED">
      <w:pPr>
        <w:numPr>
          <w:ilvl w:val="0"/>
          <w:numId w:val="32"/>
        </w:numPr>
        <w:rPr>
          <w:rFonts w:ascii="Calibri" w:hAnsi="Calibri" w:cs="Calibri"/>
          <w:sz w:val="22"/>
          <w:szCs w:val="22"/>
        </w:rPr>
      </w:pPr>
      <w:r w:rsidRPr="00BD0FED">
        <w:rPr>
          <w:rFonts w:ascii="Calibri" w:hAnsi="Calibri" w:cs="Calibri"/>
          <w:sz w:val="22"/>
          <w:szCs w:val="22"/>
        </w:rPr>
        <w:t>Violation of this policy will be treated as a serious matter and will result in disciplinary action, which may include suspension of access, retraining, and up to termination of employment or contract, in accordance with the Nation's established procedures.</w:t>
      </w:r>
    </w:p>
    <w:p w14:paraId="6CDA5074" w14:textId="77777777" w:rsidR="00434FAC" w:rsidRPr="00434FAC" w:rsidRDefault="00000000" w:rsidP="00434FAC">
      <w:r>
        <w:pict w14:anchorId="39441038">
          <v:rect id="_x0000_i1025" style="width:0;height:1.5pt" o:hralign="center" o:hrstd="t" o:hrnoshade="t" o:hr="t" fillcolor="gray" stroked="f"/>
        </w:pict>
      </w:r>
    </w:p>
    <w:p w14:paraId="0E4D6323" w14:textId="77777777" w:rsidR="00434FAC" w:rsidRPr="00BD0FED" w:rsidRDefault="00434FAC" w:rsidP="00CE17AB">
      <w:pPr>
        <w:pStyle w:val="Heading2"/>
        <w:rPr>
          <w:rFonts w:ascii="Fira Sans SemiBold" w:hAnsi="Fira Sans SemiBold"/>
          <w:sz w:val="26"/>
          <w:szCs w:val="26"/>
        </w:rPr>
      </w:pPr>
      <w:bookmarkStart w:id="23" w:name="_Toc208822625"/>
      <w:r w:rsidRPr="00BD0FED">
        <w:rPr>
          <w:rFonts w:ascii="Fira Sans SemiBold" w:hAnsi="Fira Sans SemiBold"/>
          <w:sz w:val="26"/>
          <w:szCs w:val="26"/>
        </w:rPr>
        <w:t>5.0 Advanced Governance and Technical Controls</w:t>
      </w:r>
      <w:bookmarkEnd w:id="23"/>
    </w:p>
    <w:p w14:paraId="49E0E5E5" w14:textId="77777777" w:rsidR="00434FAC" w:rsidRPr="00BD0FED" w:rsidRDefault="00434FAC" w:rsidP="00434FAC">
      <w:pPr>
        <w:rPr>
          <w:rFonts w:ascii="Calibri" w:hAnsi="Calibri" w:cs="Calibri"/>
          <w:sz w:val="22"/>
          <w:szCs w:val="22"/>
        </w:rPr>
      </w:pPr>
      <w:r w:rsidRPr="00BD0FED">
        <w:rPr>
          <w:rFonts w:ascii="Calibri" w:hAnsi="Calibri" w:cs="Calibri"/>
          <w:sz w:val="22"/>
          <w:szCs w:val="22"/>
        </w:rPr>
        <w:t>This section details the advanced controls required for the entire AI lifecycle, from data preparation to vendor management and compliance monitoring. These rules apply to IT, data analytics, and departmental leadership responsible for procuring or deploying AI systems.</w:t>
      </w:r>
    </w:p>
    <w:p w14:paraId="53E05429" w14:textId="77777777" w:rsidR="00434FAC" w:rsidRPr="00B92B6E" w:rsidRDefault="00434FAC" w:rsidP="00CE17AB">
      <w:pPr>
        <w:pStyle w:val="Heading3"/>
        <w:spacing w:after="0"/>
        <w:rPr>
          <w:rFonts w:ascii="Fira Sans" w:hAnsi="Fira Sans"/>
          <w:sz w:val="24"/>
          <w:szCs w:val="24"/>
        </w:rPr>
      </w:pPr>
      <w:bookmarkStart w:id="24" w:name="_Toc208822626"/>
      <w:r w:rsidRPr="00B92B6E">
        <w:rPr>
          <w:rFonts w:ascii="Fira Sans" w:hAnsi="Fira Sans"/>
          <w:sz w:val="24"/>
          <w:szCs w:val="24"/>
        </w:rPr>
        <w:t>5.1 Data Preparation and Enrichment for AI Consumption</w:t>
      </w:r>
      <w:bookmarkEnd w:id="24"/>
    </w:p>
    <w:p w14:paraId="60099E28" w14:textId="4DED19C6" w:rsidR="00434FAC" w:rsidRPr="00BD0FED" w:rsidRDefault="00434FAC" w:rsidP="00CE17AB">
      <w:pPr>
        <w:spacing w:after="0"/>
        <w:rPr>
          <w:rFonts w:ascii="Calibri" w:hAnsi="Calibri" w:cs="Calibri"/>
          <w:sz w:val="22"/>
          <w:szCs w:val="22"/>
        </w:rPr>
      </w:pPr>
      <w:r w:rsidRPr="00BD0FED">
        <w:rPr>
          <w:rFonts w:ascii="Calibri" w:hAnsi="Calibri" w:cs="Calibri"/>
          <w:sz w:val="22"/>
          <w:szCs w:val="22"/>
        </w:rPr>
        <w:t>The principle of "garbage in, garbage out" is fundamental to AI; the quality of an AI model's output is entirely dependent on the quality of its input data. Any process that cleanses, transforms, adds to, or otherwise enriches a dataset in preparation for its use in an AI system must adhere to the following controls:</w:t>
      </w:r>
    </w:p>
    <w:p w14:paraId="6C0548A2" w14:textId="02BE2635" w:rsidR="00434FAC" w:rsidRPr="00BD0FED" w:rsidRDefault="00434FAC" w:rsidP="00CE17AB">
      <w:pPr>
        <w:numPr>
          <w:ilvl w:val="0"/>
          <w:numId w:val="33"/>
        </w:numPr>
        <w:spacing w:after="0"/>
        <w:rPr>
          <w:rFonts w:ascii="Calibri" w:hAnsi="Calibri" w:cs="Calibri"/>
          <w:sz w:val="22"/>
          <w:szCs w:val="22"/>
        </w:rPr>
      </w:pPr>
      <w:r w:rsidRPr="00BD0FED">
        <w:rPr>
          <w:rFonts w:ascii="Calibri" w:hAnsi="Calibri" w:cs="Calibri"/>
          <w:sz w:val="22"/>
          <w:szCs w:val="22"/>
        </w:rPr>
        <w:t>Data Quality and Integrity: All data pipelines feeding AI models must include automated processes for data cleansing, deduplication, standardization, and validation to ensure accuracy, completeness, and consistency. Data must be fit for its intended purpose, and quality checks must be implemented at each stage of the pipeline.</w:t>
      </w:r>
    </w:p>
    <w:p w14:paraId="21C06278" w14:textId="35474583" w:rsidR="00434FAC" w:rsidRPr="00BD0FED" w:rsidRDefault="00434FAC" w:rsidP="00BD0FED">
      <w:pPr>
        <w:numPr>
          <w:ilvl w:val="0"/>
          <w:numId w:val="33"/>
        </w:numPr>
        <w:spacing w:after="0"/>
        <w:rPr>
          <w:rFonts w:ascii="Calibri" w:hAnsi="Calibri" w:cs="Calibri"/>
          <w:sz w:val="22"/>
          <w:szCs w:val="22"/>
        </w:rPr>
      </w:pPr>
      <w:r w:rsidRPr="00BD0FED">
        <w:rPr>
          <w:rFonts w:ascii="Calibri" w:hAnsi="Calibri" w:cs="Calibri"/>
          <w:sz w:val="22"/>
          <w:szCs w:val="22"/>
        </w:rPr>
        <w:t>Bias Mitigation in Data Enrichment: Data enrichment processes must be designed to prevent the introduction or amplification of societal biases. Datasets must be representative of the community and diverse enough to avoid selection bias. Human oversight is required to review data sources and enrichment logic for potential biases related to race, gender, or other protected characteristics before the data is used for model training.</w:t>
      </w:r>
    </w:p>
    <w:p w14:paraId="6C8E538F" w14:textId="66CC4A19" w:rsidR="00434FAC" w:rsidRPr="00BD0FED" w:rsidRDefault="00434FAC" w:rsidP="00BD0FED">
      <w:pPr>
        <w:numPr>
          <w:ilvl w:val="0"/>
          <w:numId w:val="33"/>
        </w:numPr>
        <w:spacing w:after="0"/>
        <w:rPr>
          <w:rFonts w:ascii="Calibri" w:hAnsi="Calibri" w:cs="Calibri"/>
          <w:sz w:val="22"/>
          <w:szCs w:val="22"/>
        </w:rPr>
      </w:pPr>
      <w:r w:rsidRPr="00BD0FED">
        <w:rPr>
          <w:rFonts w:ascii="Calibri" w:hAnsi="Calibri" w:cs="Calibri"/>
          <w:sz w:val="22"/>
          <w:szCs w:val="22"/>
        </w:rPr>
        <w:t>Data Lineage and Documentation: A complete and auditable record of data lineage must be maintained for all datasets used in AI. This documentation must track the data's origin, all transformations and enrichments applied, and the purpose of these modifications. This ensures traceability and is essential for audits and troubleshooting.</w:t>
      </w:r>
    </w:p>
    <w:p w14:paraId="2B28771B" w14:textId="26FD53D4" w:rsidR="00434FAC" w:rsidRPr="00BD0FED" w:rsidRDefault="00434FAC" w:rsidP="00BD0FED">
      <w:pPr>
        <w:numPr>
          <w:ilvl w:val="0"/>
          <w:numId w:val="33"/>
        </w:numPr>
        <w:rPr>
          <w:rFonts w:ascii="Calibri" w:hAnsi="Calibri" w:cs="Calibri"/>
          <w:sz w:val="22"/>
          <w:szCs w:val="22"/>
        </w:rPr>
      </w:pPr>
      <w:r w:rsidRPr="00BD0FED">
        <w:rPr>
          <w:rFonts w:ascii="Calibri" w:hAnsi="Calibri" w:cs="Calibri"/>
          <w:sz w:val="22"/>
          <w:szCs w:val="22"/>
        </w:rPr>
        <w:t>Security and Sovereignty: All data preparation and enrichment activities are subject to the Nation's data sovereignty principles (OCAP® and CARE) and security protocols. Sensitive data must be protected throughout the entire data lifecycle, from ingestion to model deployment.</w:t>
      </w:r>
    </w:p>
    <w:p w14:paraId="4A6E1ED9" w14:textId="77777777" w:rsidR="00434FAC" w:rsidRPr="00B92B6E" w:rsidRDefault="00434FAC" w:rsidP="00CE17AB">
      <w:pPr>
        <w:pStyle w:val="Heading3"/>
        <w:spacing w:after="0"/>
        <w:rPr>
          <w:rFonts w:ascii="Fira Sans" w:hAnsi="Fira Sans"/>
          <w:sz w:val="24"/>
          <w:szCs w:val="24"/>
        </w:rPr>
      </w:pPr>
      <w:bookmarkStart w:id="25" w:name="_Toc208822627"/>
      <w:r w:rsidRPr="00B92B6E">
        <w:rPr>
          <w:rFonts w:ascii="Fira Sans" w:hAnsi="Fira Sans"/>
          <w:sz w:val="24"/>
          <w:szCs w:val="24"/>
        </w:rPr>
        <w:t>5.2 Compliance Monitoring and Auditing of AI Outputs</w:t>
      </w:r>
      <w:bookmarkEnd w:id="25"/>
    </w:p>
    <w:p w14:paraId="7DA25514" w14:textId="77777777" w:rsidR="00434FAC" w:rsidRPr="00BD0FED" w:rsidRDefault="00434FAC" w:rsidP="00CE17AB">
      <w:pPr>
        <w:spacing w:after="0"/>
        <w:rPr>
          <w:rFonts w:ascii="Calibri" w:hAnsi="Calibri" w:cs="Calibri"/>
          <w:sz w:val="22"/>
          <w:szCs w:val="22"/>
        </w:rPr>
      </w:pPr>
      <w:r w:rsidRPr="00BD0FED">
        <w:rPr>
          <w:rFonts w:ascii="Calibri" w:hAnsi="Calibri" w:cs="Calibri"/>
          <w:sz w:val="22"/>
          <w:szCs w:val="22"/>
        </w:rPr>
        <w:t>To ensure AI systems operate in continuous alignment with this policy, their outputs and performance must be actively monitored and periodically audited.</w:t>
      </w:r>
    </w:p>
    <w:p w14:paraId="57A6CFD5" w14:textId="7BD603B0" w:rsidR="00434FAC" w:rsidRPr="00BD0FED" w:rsidRDefault="00434FAC" w:rsidP="00BD0FED">
      <w:pPr>
        <w:numPr>
          <w:ilvl w:val="0"/>
          <w:numId w:val="34"/>
        </w:numPr>
        <w:spacing w:after="0"/>
        <w:rPr>
          <w:rFonts w:ascii="Calibri" w:hAnsi="Calibri" w:cs="Calibri"/>
          <w:sz w:val="22"/>
          <w:szCs w:val="22"/>
        </w:rPr>
      </w:pPr>
      <w:r w:rsidRPr="00BD0FED">
        <w:rPr>
          <w:rFonts w:ascii="Calibri" w:hAnsi="Calibri" w:cs="Calibri"/>
          <w:sz w:val="22"/>
          <w:szCs w:val="22"/>
        </w:rPr>
        <w:lastRenderedPageBreak/>
        <w:t xml:space="preserve">Continuous Performance Monitoring: All approved AI systems must be subject to real-time or near-real-time monitoring to track performance and health. Key metrics, including accuracy, data drift, and the rate of "hallucinations," must be logged and reviewed to detect degradation or anomalous behavior. Automated alerts </w:t>
      </w:r>
      <w:proofErr w:type="gramStart"/>
      <w:r w:rsidRPr="00BD0FED">
        <w:rPr>
          <w:rFonts w:ascii="Calibri" w:hAnsi="Calibri" w:cs="Calibri"/>
          <w:sz w:val="22"/>
          <w:szCs w:val="22"/>
        </w:rPr>
        <w:t>shall</w:t>
      </w:r>
      <w:proofErr w:type="gramEnd"/>
      <w:r w:rsidRPr="00BD0FED">
        <w:rPr>
          <w:rFonts w:ascii="Calibri" w:hAnsi="Calibri" w:cs="Calibri"/>
          <w:sz w:val="22"/>
          <w:szCs w:val="22"/>
        </w:rPr>
        <w:t xml:space="preserve"> be configured to notify the IT Department and system owners when performance deviates from established thresholds.</w:t>
      </w:r>
    </w:p>
    <w:p w14:paraId="35800A0D" w14:textId="485857D4" w:rsidR="00434FAC" w:rsidRPr="00BD0FED" w:rsidRDefault="00434FAC" w:rsidP="00BD0FED">
      <w:pPr>
        <w:numPr>
          <w:ilvl w:val="0"/>
          <w:numId w:val="34"/>
        </w:numPr>
        <w:spacing w:after="0"/>
        <w:rPr>
          <w:rFonts w:ascii="Calibri" w:hAnsi="Calibri" w:cs="Calibri"/>
          <w:sz w:val="22"/>
          <w:szCs w:val="22"/>
        </w:rPr>
      </w:pPr>
      <w:r w:rsidRPr="00BD0FED">
        <w:rPr>
          <w:rFonts w:ascii="Calibri" w:hAnsi="Calibri" w:cs="Calibri"/>
          <w:sz w:val="22"/>
          <w:szCs w:val="22"/>
        </w:rPr>
        <w:t>Bias and Fairness Audits: AI systems, particularly those used in high-stakes decision-making, must undergo regular audits to test for discriminatory bias. These audits will evaluate system outputs across different demographic groups to ensure equitable outcomes and compliance with the ethical principles of this policy.</w:t>
      </w:r>
    </w:p>
    <w:p w14:paraId="0C0E6F3D" w14:textId="08A4F5C7" w:rsidR="00434FAC" w:rsidRPr="00BD0FED" w:rsidRDefault="00434FAC" w:rsidP="00BD0FED">
      <w:pPr>
        <w:numPr>
          <w:ilvl w:val="0"/>
          <w:numId w:val="34"/>
        </w:numPr>
        <w:spacing w:after="0"/>
        <w:rPr>
          <w:rFonts w:ascii="Calibri" w:hAnsi="Calibri" w:cs="Calibri"/>
          <w:sz w:val="22"/>
          <w:szCs w:val="22"/>
        </w:rPr>
      </w:pPr>
      <w:r w:rsidRPr="00BD0FED">
        <w:rPr>
          <w:rFonts w:ascii="Calibri" w:hAnsi="Calibri" w:cs="Calibri"/>
          <w:sz w:val="22"/>
          <w:szCs w:val="22"/>
        </w:rPr>
        <w:t>Audit Trails and Reporting: All AI system inputs, outputs, and key decisions must be logged in a secure, tamper-evident manner to create a verifiable audit trail. The AI Governance Committee will define a schedule for regular compliance reports, which will summarize performance metrics, audit findings, and any remedial actions taken.</w:t>
      </w:r>
    </w:p>
    <w:p w14:paraId="20CE3AD3" w14:textId="2672771C" w:rsidR="00434FAC" w:rsidRPr="00BD0FED" w:rsidRDefault="00434FAC" w:rsidP="00BD0FED">
      <w:pPr>
        <w:numPr>
          <w:ilvl w:val="0"/>
          <w:numId w:val="34"/>
        </w:numPr>
        <w:rPr>
          <w:rFonts w:ascii="Calibri" w:hAnsi="Calibri" w:cs="Calibri"/>
          <w:sz w:val="22"/>
          <w:szCs w:val="22"/>
        </w:rPr>
      </w:pPr>
      <w:r w:rsidRPr="00BD0FED">
        <w:rPr>
          <w:rFonts w:ascii="Calibri" w:hAnsi="Calibri" w:cs="Calibri"/>
          <w:sz w:val="22"/>
          <w:szCs w:val="22"/>
        </w:rPr>
        <w:t>Human-in-the-Loop for High-Risk Systems: For AI systems classified as high-risk, outputs must be subject to human review before final action is taken. This ensures a layer of accountability and provides an opportunity to override flawed or non-compliant AI-generated decisions.</w:t>
      </w:r>
    </w:p>
    <w:p w14:paraId="22B364F4" w14:textId="77777777" w:rsidR="00434FAC" w:rsidRPr="00B92B6E" w:rsidRDefault="00434FAC" w:rsidP="00CE17AB">
      <w:pPr>
        <w:pStyle w:val="Heading3"/>
        <w:spacing w:after="0"/>
        <w:rPr>
          <w:rFonts w:ascii="Fira Sans" w:hAnsi="Fira Sans"/>
          <w:sz w:val="24"/>
          <w:szCs w:val="24"/>
        </w:rPr>
      </w:pPr>
      <w:bookmarkStart w:id="26" w:name="_Toc208822628"/>
      <w:r w:rsidRPr="00B92B6E">
        <w:rPr>
          <w:rFonts w:ascii="Fira Sans" w:hAnsi="Fira Sans"/>
          <w:sz w:val="24"/>
          <w:szCs w:val="24"/>
        </w:rPr>
        <w:t>5.3 Governance of Third-Party and "Black Box" AI Systems</w:t>
      </w:r>
      <w:bookmarkEnd w:id="26"/>
    </w:p>
    <w:p w14:paraId="5734B63D" w14:textId="5AD024C2" w:rsidR="00434FAC" w:rsidRPr="00BF475D" w:rsidRDefault="00434FAC" w:rsidP="00CE17AB">
      <w:pPr>
        <w:spacing w:after="0"/>
        <w:rPr>
          <w:rFonts w:ascii="Calibri" w:hAnsi="Calibri" w:cs="Calibri"/>
          <w:sz w:val="22"/>
          <w:szCs w:val="22"/>
        </w:rPr>
      </w:pPr>
      <w:r w:rsidRPr="00BF475D">
        <w:rPr>
          <w:rFonts w:ascii="Calibri" w:hAnsi="Calibri" w:cs="Calibri"/>
          <w:sz w:val="22"/>
          <w:szCs w:val="22"/>
        </w:rPr>
        <w:t>When the Nation procures AI systems from third-party vendors, especially those whose inner workings are opaque ("black box" systems), the reputational and regulatory liability remains with the Nation.</w:t>
      </w:r>
      <w:r w:rsidR="00581C23">
        <w:rPr>
          <w:rFonts w:ascii="Calibri" w:hAnsi="Calibri" w:cs="Calibri"/>
          <w:sz w:val="22"/>
          <w:szCs w:val="22"/>
          <w:vertAlign w:val="superscript"/>
        </w:rPr>
        <w:t xml:space="preserve"> </w:t>
      </w:r>
      <w:r w:rsidRPr="00BF475D">
        <w:rPr>
          <w:rFonts w:ascii="Calibri" w:hAnsi="Calibri" w:cs="Calibri"/>
          <w:sz w:val="22"/>
          <w:szCs w:val="22"/>
        </w:rPr>
        <w:t>Therefore, such systems are subject to heightened scrutiny.</w:t>
      </w:r>
    </w:p>
    <w:p w14:paraId="1C401495" w14:textId="19ACB2C8" w:rsidR="00434FAC" w:rsidRPr="00BF475D" w:rsidRDefault="00434FAC" w:rsidP="00CE17AB">
      <w:pPr>
        <w:numPr>
          <w:ilvl w:val="0"/>
          <w:numId w:val="35"/>
        </w:numPr>
        <w:spacing w:after="0"/>
        <w:rPr>
          <w:rFonts w:ascii="Calibri" w:hAnsi="Calibri" w:cs="Calibri"/>
          <w:sz w:val="22"/>
          <w:szCs w:val="22"/>
        </w:rPr>
      </w:pPr>
      <w:r w:rsidRPr="00BF475D">
        <w:rPr>
          <w:rFonts w:ascii="Calibri" w:hAnsi="Calibri" w:cs="Calibri"/>
          <w:sz w:val="22"/>
          <w:szCs w:val="22"/>
        </w:rPr>
        <w:t xml:space="preserve">Enhanced Due Diligence: Before procurement, vendors must provide clear documentation regarding their AI governance practices, model development methodologies, and the sources of their training data. Vendors must disclose how their systems have been tested for bias, their mechanisms for ensuring data privacy, and how they </w:t>
      </w:r>
      <w:proofErr w:type="gramStart"/>
      <w:r w:rsidRPr="00BF475D">
        <w:rPr>
          <w:rFonts w:ascii="Calibri" w:hAnsi="Calibri" w:cs="Calibri"/>
          <w:sz w:val="22"/>
          <w:szCs w:val="22"/>
        </w:rPr>
        <w:t>monitor for</w:t>
      </w:r>
      <w:proofErr w:type="gramEnd"/>
      <w:r w:rsidRPr="00BF475D">
        <w:rPr>
          <w:rFonts w:ascii="Calibri" w:hAnsi="Calibri" w:cs="Calibri"/>
          <w:sz w:val="22"/>
          <w:szCs w:val="22"/>
        </w:rPr>
        <w:t xml:space="preserve"> model drift and other risks.</w:t>
      </w:r>
    </w:p>
    <w:p w14:paraId="61626A79" w14:textId="77777777" w:rsidR="00434FAC" w:rsidRPr="00BF475D" w:rsidRDefault="00434FAC" w:rsidP="00CE17AB">
      <w:pPr>
        <w:numPr>
          <w:ilvl w:val="0"/>
          <w:numId w:val="35"/>
        </w:numPr>
        <w:spacing w:after="0"/>
        <w:rPr>
          <w:rFonts w:ascii="Calibri" w:hAnsi="Calibri" w:cs="Calibri"/>
          <w:sz w:val="22"/>
          <w:szCs w:val="22"/>
        </w:rPr>
      </w:pPr>
      <w:r w:rsidRPr="00BF475D">
        <w:rPr>
          <w:rFonts w:ascii="Calibri" w:hAnsi="Calibri" w:cs="Calibri"/>
          <w:sz w:val="22"/>
          <w:szCs w:val="22"/>
        </w:rPr>
        <w:t>Strict Contractual Requirements: All vendor contracts for AI systems must include specific clauses that:</w:t>
      </w:r>
    </w:p>
    <w:p w14:paraId="179B95B3" w14:textId="44784F65" w:rsidR="00434FAC" w:rsidRPr="00BF475D" w:rsidRDefault="00434FAC" w:rsidP="00BF475D">
      <w:pPr>
        <w:numPr>
          <w:ilvl w:val="1"/>
          <w:numId w:val="35"/>
        </w:numPr>
        <w:spacing w:after="0"/>
        <w:rPr>
          <w:rFonts w:ascii="Calibri" w:hAnsi="Calibri" w:cs="Calibri"/>
          <w:sz w:val="22"/>
          <w:szCs w:val="22"/>
        </w:rPr>
      </w:pPr>
      <w:r w:rsidRPr="00BF475D">
        <w:rPr>
          <w:rFonts w:ascii="Calibri" w:hAnsi="Calibri" w:cs="Calibri"/>
          <w:sz w:val="22"/>
          <w:szCs w:val="22"/>
        </w:rPr>
        <w:t>Explicitly require the vendor to disclose when and how AI is being used in the service provided.</w:t>
      </w:r>
    </w:p>
    <w:p w14:paraId="46CAC387" w14:textId="22209EB5" w:rsidR="00434FAC" w:rsidRPr="00BF475D" w:rsidRDefault="00434FAC" w:rsidP="00BF475D">
      <w:pPr>
        <w:numPr>
          <w:ilvl w:val="1"/>
          <w:numId w:val="35"/>
        </w:numPr>
        <w:spacing w:after="0"/>
        <w:rPr>
          <w:rFonts w:ascii="Calibri" w:hAnsi="Calibri" w:cs="Calibri"/>
          <w:sz w:val="22"/>
          <w:szCs w:val="22"/>
        </w:rPr>
      </w:pPr>
      <w:r w:rsidRPr="00BF475D">
        <w:rPr>
          <w:rFonts w:ascii="Calibri" w:hAnsi="Calibri" w:cs="Calibri"/>
          <w:sz w:val="22"/>
          <w:szCs w:val="22"/>
        </w:rPr>
        <w:t>Affirm the Nation's sole ownership and control of its data (OCAP®</w:t>
      </w:r>
      <w:proofErr w:type="gramStart"/>
      <w:r w:rsidRPr="00BF475D">
        <w:rPr>
          <w:rFonts w:ascii="Calibri" w:hAnsi="Calibri" w:cs="Calibri"/>
          <w:sz w:val="22"/>
          <w:szCs w:val="22"/>
        </w:rPr>
        <w:t>), and</w:t>
      </w:r>
      <w:proofErr w:type="gramEnd"/>
      <w:r w:rsidRPr="00BF475D">
        <w:rPr>
          <w:rFonts w:ascii="Calibri" w:hAnsi="Calibri" w:cs="Calibri"/>
          <w:sz w:val="22"/>
          <w:szCs w:val="22"/>
        </w:rPr>
        <w:t xml:space="preserve"> prohibit the vendor from using the Nation's data for training their models for other clients without explicit, written consent.</w:t>
      </w:r>
    </w:p>
    <w:p w14:paraId="6BBBE12A" w14:textId="291AC4D1" w:rsidR="00434FAC" w:rsidRPr="00BF475D" w:rsidRDefault="00434FAC" w:rsidP="00BF475D">
      <w:pPr>
        <w:numPr>
          <w:ilvl w:val="1"/>
          <w:numId w:val="35"/>
        </w:numPr>
        <w:spacing w:after="0"/>
        <w:rPr>
          <w:rFonts w:ascii="Calibri" w:hAnsi="Calibri" w:cs="Calibri"/>
          <w:sz w:val="22"/>
          <w:szCs w:val="22"/>
        </w:rPr>
      </w:pPr>
      <w:r w:rsidRPr="00BF475D">
        <w:rPr>
          <w:rFonts w:ascii="Calibri" w:hAnsi="Calibri" w:cs="Calibri"/>
          <w:sz w:val="22"/>
          <w:szCs w:val="22"/>
        </w:rPr>
        <w:t>Grant the Nation the right to audit the AI system's performance, outputs, and compliance with this policy.</w:t>
      </w:r>
    </w:p>
    <w:p w14:paraId="21BA0145" w14:textId="49DD3B94" w:rsidR="00434FAC" w:rsidRPr="00BF475D" w:rsidRDefault="00434FAC" w:rsidP="00CE17AB">
      <w:pPr>
        <w:numPr>
          <w:ilvl w:val="1"/>
          <w:numId w:val="35"/>
        </w:numPr>
        <w:spacing w:after="0"/>
        <w:rPr>
          <w:rFonts w:ascii="Calibri" w:hAnsi="Calibri" w:cs="Calibri"/>
          <w:sz w:val="22"/>
          <w:szCs w:val="22"/>
        </w:rPr>
      </w:pPr>
      <w:r w:rsidRPr="00BF475D">
        <w:rPr>
          <w:rFonts w:ascii="Calibri" w:hAnsi="Calibri" w:cs="Calibri"/>
          <w:sz w:val="22"/>
          <w:szCs w:val="22"/>
        </w:rPr>
        <w:t>Establish clear protocols for incident response, including prompt notification of any performance failures, security breaches, or significant model changes.</w:t>
      </w:r>
    </w:p>
    <w:p w14:paraId="77CF7507" w14:textId="01F92330" w:rsidR="00434FAC" w:rsidRPr="00BF475D" w:rsidRDefault="00434FAC" w:rsidP="00BF475D">
      <w:pPr>
        <w:numPr>
          <w:ilvl w:val="0"/>
          <w:numId w:val="35"/>
        </w:numPr>
        <w:spacing w:after="0"/>
        <w:rPr>
          <w:rFonts w:ascii="Calibri" w:hAnsi="Calibri" w:cs="Calibri"/>
          <w:sz w:val="22"/>
          <w:szCs w:val="22"/>
        </w:rPr>
      </w:pPr>
      <w:r w:rsidRPr="00BF475D">
        <w:rPr>
          <w:rFonts w:ascii="Calibri" w:hAnsi="Calibri" w:cs="Calibri"/>
          <w:sz w:val="22"/>
          <w:szCs w:val="22"/>
        </w:rPr>
        <w:t xml:space="preserve">Demand for Transparency and Explainability: For any AI system that influences decisions affecting members' rights, benefits, or well-being, the Nation will not accept a "black box" as a final answer. Vendors must provide a means of explaining the logic behind the system's outputs </w:t>
      </w:r>
      <w:r w:rsidRPr="00BF475D">
        <w:rPr>
          <w:rFonts w:ascii="Calibri" w:hAnsi="Calibri" w:cs="Calibri"/>
          <w:sz w:val="22"/>
          <w:szCs w:val="22"/>
        </w:rPr>
        <w:lastRenderedPageBreak/>
        <w:t>in an understandable way. The inability of a vendor to provide adequate transparency for a high-risk system will be grounds for disqualification.</w:t>
      </w:r>
    </w:p>
    <w:p w14:paraId="6CC979E3" w14:textId="7B484D9D" w:rsidR="00434FAC" w:rsidRPr="00BF475D" w:rsidRDefault="00434FAC" w:rsidP="00BF475D">
      <w:pPr>
        <w:numPr>
          <w:ilvl w:val="0"/>
          <w:numId w:val="35"/>
        </w:numPr>
        <w:rPr>
          <w:rFonts w:ascii="Calibri" w:hAnsi="Calibri" w:cs="Calibri"/>
          <w:sz w:val="22"/>
          <w:szCs w:val="22"/>
        </w:rPr>
      </w:pPr>
      <w:r w:rsidRPr="00BF475D">
        <w:rPr>
          <w:rFonts w:ascii="Calibri" w:hAnsi="Calibri" w:cs="Calibri"/>
          <w:sz w:val="22"/>
          <w:szCs w:val="22"/>
        </w:rPr>
        <w:t>Ongoing Vendor Monitoring: The performance and compliance of all third-party AI systems must be monitored continuously. The AI Governance Committee will conduct periodic reviews of vendor AI systems to ensure they continue to meet the Nation's standards for security, ethics, and responsible use.</w:t>
      </w:r>
    </w:p>
    <w:p w14:paraId="0855EC7C" w14:textId="77777777" w:rsidR="00434FAC" w:rsidRPr="00434FAC" w:rsidRDefault="00000000" w:rsidP="00434FAC">
      <w:r>
        <w:pict w14:anchorId="032EFEC1">
          <v:rect id="_x0000_i1026" style="width:0;height:1.5pt" o:hralign="center" o:hrstd="t" o:hrnoshade="t" o:hr="t" fillcolor="gray" stroked="f"/>
        </w:pict>
      </w:r>
    </w:p>
    <w:p w14:paraId="635DFDA1" w14:textId="77777777" w:rsidR="00434FAC" w:rsidRPr="00BD0FED" w:rsidRDefault="00434FAC" w:rsidP="00CE17AB">
      <w:pPr>
        <w:pStyle w:val="Heading2"/>
        <w:rPr>
          <w:rFonts w:ascii="Fira Sans SemiBold" w:hAnsi="Fira Sans SemiBold"/>
          <w:sz w:val="26"/>
          <w:szCs w:val="26"/>
        </w:rPr>
      </w:pPr>
      <w:bookmarkStart w:id="27" w:name="_Toc208822629"/>
      <w:r w:rsidRPr="00BD0FED">
        <w:rPr>
          <w:rFonts w:ascii="Fira Sans SemiBold" w:hAnsi="Fira Sans SemiBold"/>
          <w:sz w:val="26"/>
          <w:szCs w:val="26"/>
        </w:rPr>
        <w:t>6.0 Sector-Specific Policies and Procedures</w:t>
      </w:r>
      <w:bookmarkEnd w:id="27"/>
    </w:p>
    <w:p w14:paraId="27D7E640" w14:textId="77777777" w:rsidR="00434FAC" w:rsidRPr="00EC1F9E" w:rsidRDefault="00434FAC" w:rsidP="00434FAC">
      <w:pPr>
        <w:rPr>
          <w:rFonts w:ascii="Calibri" w:hAnsi="Calibri" w:cs="Calibri"/>
          <w:sz w:val="22"/>
          <w:szCs w:val="22"/>
        </w:rPr>
      </w:pPr>
      <w:r w:rsidRPr="00EC1F9E">
        <w:rPr>
          <w:rFonts w:ascii="Calibri" w:hAnsi="Calibri" w:cs="Calibri"/>
          <w:sz w:val="22"/>
          <w:szCs w:val="22"/>
        </w:rPr>
        <w:t>This section is designed to be modular. Each of the following subsections (6.1, 6.2, 6.3) is a self-contained policy addendum that applies to the specified operational area. These sections can be included or removed to create a version of the policy tailored to a specific entity.</w:t>
      </w:r>
    </w:p>
    <w:p w14:paraId="0D912F91" w14:textId="2A109D46" w:rsidR="00434FAC" w:rsidRPr="00434FAC" w:rsidRDefault="00000000" w:rsidP="00434FAC">
      <w:r>
        <w:pict w14:anchorId="3CEFDBC6">
          <v:rect id="_x0000_i1027" style="width:0;height:1.5pt" o:hralign="center" o:hrstd="t" o:hrnoshade="t" o:hr="t" fillcolor="gray" stroked="f"/>
        </w:pict>
      </w:r>
    </w:p>
    <w:p w14:paraId="15DA8427" w14:textId="77777777" w:rsidR="00434FAC" w:rsidRPr="00B92B6E" w:rsidRDefault="00434FAC" w:rsidP="00B92B6E">
      <w:pPr>
        <w:pStyle w:val="Heading3"/>
        <w:rPr>
          <w:rFonts w:ascii="Fira Sans" w:hAnsi="Fira Sans"/>
          <w:sz w:val="24"/>
          <w:szCs w:val="24"/>
        </w:rPr>
      </w:pPr>
      <w:bookmarkStart w:id="28" w:name="_Toc208822630"/>
      <w:r w:rsidRPr="00B92B6E">
        <w:rPr>
          <w:rFonts w:ascii="Fira Sans" w:hAnsi="Fira Sans"/>
          <w:sz w:val="24"/>
          <w:szCs w:val="24"/>
        </w:rPr>
        <w:t>6.1 Tribal Administration</w:t>
      </w:r>
      <w:bookmarkEnd w:id="28"/>
    </w:p>
    <w:p w14:paraId="7B0C81AA" w14:textId="04AB3502" w:rsidR="00434FAC" w:rsidRPr="00BF475D" w:rsidRDefault="00434FAC" w:rsidP="00434FAC">
      <w:pPr>
        <w:rPr>
          <w:rFonts w:ascii="Calibri" w:hAnsi="Calibri" w:cs="Calibri"/>
          <w:sz w:val="22"/>
          <w:szCs w:val="22"/>
        </w:rPr>
      </w:pPr>
      <w:r w:rsidRPr="00BF475D">
        <w:rPr>
          <w:rFonts w:ascii="Calibri" w:hAnsi="Calibri" w:cs="Calibri"/>
          <w:sz w:val="22"/>
          <w:szCs w:val="22"/>
        </w:rPr>
        <w:t>This section provides specific rules governing the use of AI within the governmental and administrative functions of the [TRIBAL ENTITY], including but not limited to Member Services, Finance, Legal, Planning, and Grant Management.</w:t>
      </w:r>
    </w:p>
    <w:p w14:paraId="29D74B20" w14:textId="77777777" w:rsidR="00434FAC" w:rsidRPr="00B92B6E" w:rsidRDefault="00434FAC" w:rsidP="00CE17AB">
      <w:pPr>
        <w:pStyle w:val="Heading3"/>
        <w:spacing w:after="0"/>
        <w:rPr>
          <w:rFonts w:ascii="Fira Sans" w:hAnsi="Fira Sans"/>
          <w:sz w:val="24"/>
          <w:szCs w:val="24"/>
        </w:rPr>
      </w:pPr>
      <w:bookmarkStart w:id="29" w:name="_Toc208822631"/>
      <w:r w:rsidRPr="00B92B6E">
        <w:rPr>
          <w:rFonts w:ascii="Fira Sans" w:hAnsi="Fira Sans"/>
          <w:sz w:val="24"/>
          <w:szCs w:val="24"/>
        </w:rPr>
        <w:t>6.1.1 Use in Member Services and Governance</w:t>
      </w:r>
      <w:bookmarkEnd w:id="29"/>
    </w:p>
    <w:p w14:paraId="4369C18C" w14:textId="5A6E558D" w:rsidR="00434FAC" w:rsidRPr="00BF475D" w:rsidRDefault="00434FAC" w:rsidP="00BF475D">
      <w:pPr>
        <w:numPr>
          <w:ilvl w:val="0"/>
          <w:numId w:val="36"/>
        </w:numPr>
        <w:spacing w:after="0"/>
        <w:rPr>
          <w:rFonts w:ascii="Calibri" w:hAnsi="Calibri" w:cs="Calibri"/>
          <w:sz w:val="22"/>
          <w:szCs w:val="22"/>
        </w:rPr>
      </w:pPr>
      <w:r w:rsidRPr="00BF475D">
        <w:rPr>
          <w:rFonts w:ascii="Calibri" w:hAnsi="Calibri" w:cs="Calibri"/>
          <w:sz w:val="22"/>
          <w:szCs w:val="22"/>
        </w:rPr>
        <w:t>AI as an Efficiency Tool: Approved AI systems may be used to improve the efficiency of administrative tasks, such as summarizing long documents, drafting initial versions of public communications, analyzing operational data for process improvements, and organizing historical records.</w:t>
      </w:r>
    </w:p>
    <w:p w14:paraId="4B32F72B" w14:textId="66B6EDAF" w:rsidR="00434FAC" w:rsidRPr="00BF475D" w:rsidRDefault="00434FAC" w:rsidP="00BF475D">
      <w:pPr>
        <w:numPr>
          <w:ilvl w:val="0"/>
          <w:numId w:val="36"/>
        </w:numPr>
        <w:spacing w:after="0"/>
        <w:rPr>
          <w:rFonts w:ascii="Calibri" w:hAnsi="Calibri" w:cs="Calibri"/>
          <w:sz w:val="22"/>
          <w:szCs w:val="22"/>
        </w:rPr>
      </w:pPr>
      <w:r w:rsidRPr="00BF475D">
        <w:rPr>
          <w:rFonts w:ascii="Calibri" w:hAnsi="Calibri" w:cs="Calibri"/>
          <w:sz w:val="22"/>
          <w:szCs w:val="22"/>
        </w:rPr>
        <w:t xml:space="preserve">Prohibition on Automated Decision-Making for Member Benefits: Any AI-driven system that informs or </w:t>
      </w:r>
      <w:proofErr w:type="gramStart"/>
      <w:r w:rsidRPr="00BF475D">
        <w:rPr>
          <w:rFonts w:ascii="Calibri" w:hAnsi="Calibri" w:cs="Calibri"/>
          <w:sz w:val="22"/>
          <w:szCs w:val="22"/>
        </w:rPr>
        <w:t>makes a decision</w:t>
      </w:r>
      <w:proofErr w:type="gramEnd"/>
      <w:r w:rsidRPr="00BF475D">
        <w:rPr>
          <w:rFonts w:ascii="Calibri" w:hAnsi="Calibri" w:cs="Calibri"/>
          <w:sz w:val="22"/>
          <w:szCs w:val="22"/>
        </w:rPr>
        <w:t xml:space="preserve"> directly impacting a Tribal member's rights, benefits, eligibility, or status (e.g., for housing, enrollment, social services, or educational funding) must be subject to final review, validation, and approval by a qualified human official. The use of fully automated, un-reviewed AI for such decisions is strictly prohibited. This measure is necessary to mitigate the risks of algorithmic bias, which could disproportionately harm vulnerable members of the community, and to ensure that decisions are made with the fairness and context that only human oversight can provide.</w:t>
      </w:r>
    </w:p>
    <w:p w14:paraId="7D410841" w14:textId="12C937F5" w:rsidR="00434FAC" w:rsidRPr="00BF475D" w:rsidRDefault="00434FAC" w:rsidP="00BF475D">
      <w:pPr>
        <w:numPr>
          <w:ilvl w:val="0"/>
          <w:numId w:val="36"/>
        </w:numPr>
        <w:rPr>
          <w:rFonts w:ascii="Calibri" w:hAnsi="Calibri" w:cs="Calibri"/>
          <w:sz w:val="22"/>
          <w:szCs w:val="22"/>
        </w:rPr>
      </w:pPr>
      <w:r w:rsidRPr="00BF475D">
        <w:rPr>
          <w:rFonts w:ascii="Calibri" w:hAnsi="Calibri" w:cs="Calibri"/>
          <w:sz w:val="22"/>
          <w:szCs w:val="22"/>
        </w:rPr>
        <w:t xml:space="preserve">Maintaining Institutional Knowledge: While AI can address workforce challenges and automate routine tasks, overreliance poses a risk to the Nation's long-term institutional knowledge. Department heads must ensure that staff continue to receive training in the core competencies of their roles, even when AI tools are available. AI should be treated as a "junior assistant" whose work requires rigorous checking and validation, not as a substitute for human expertise. This approach ensures that the Nation's staff retain the skills and deep understanding necessary </w:t>
      </w:r>
      <w:r w:rsidRPr="00BF475D">
        <w:rPr>
          <w:rFonts w:ascii="Calibri" w:hAnsi="Calibri" w:cs="Calibri"/>
          <w:sz w:val="22"/>
          <w:szCs w:val="22"/>
        </w:rPr>
        <w:lastRenderedPageBreak/>
        <w:t>for effective governance and operational resilience, preventing a dangerous dependency on external technology.</w:t>
      </w:r>
    </w:p>
    <w:p w14:paraId="42E6AB6F" w14:textId="77777777" w:rsidR="00434FAC" w:rsidRPr="00B92B6E" w:rsidRDefault="00434FAC" w:rsidP="00CE17AB">
      <w:pPr>
        <w:pStyle w:val="Heading3"/>
        <w:spacing w:after="0"/>
        <w:rPr>
          <w:rFonts w:ascii="Fira Sans" w:hAnsi="Fira Sans"/>
          <w:sz w:val="24"/>
          <w:szCs w:val="24"/>
        </w:rPr>
      </w:pPr>
      <w:bookmarkStart w:id="30" w:name="_Toc208822632"/>
      <w:r w:rsidRPr="00B92B6E">
        <w:rPr>
          <w:rFonts w:ascii="Fira Sans" w:hAnsi="Fira Sans"/>
          <w:sz w:val="24"/>
          <w:szCs w:val="24"/>
        </w:rPr>
        <w:t>6.1.2 Grant Management and Inter-Governmental Affairs</w:t>
      </w:r>
      <w:bookmarkEnd w:id="30"/>
    </w:p>
    <w:p w14:paraId="264BAB0D" w14:textId="229DA01C" w:rsidR="00434FAC" w:rsidRPr="00BF475D" w:rsidRDefault="00434FAC" w:rsidP="00BF475D">
      <w:pPr>
        <w:numPr>
          <w:ilvl w:val="0"/>
          <w:numId w:val="37"/>
        </w:numPr>
        <w:spacing w:after="0"/>
        <w:rPr>
          <w:rFonts w:ascii="Calibri" w:hAnsi="Calibri" w:cs="Calibri"/>
          <w:sz w:val="22"/>
          <w:szCs w:val="22"/>
        </w:rPr>
      </w:pPr>
      <w:r w:rsidRPr="00BF475D">
        <w:rPr>
          <w:rFonts w:ascii="Calibri" w:hAnsi="Calibri" w:cs="Calibri"/>
          <w:sz w:val="22"/>
          <w:szCs w:val="22"/>
        </w:rPr>
        <w:t>Assistance in Grant Management: Approved AI tools may be used to assist in identifying relevant grant opportunities and in drafting initial sections of grant applications. This can improve the competitiveness of the Nation's applications and reduce the administrative burden on staff.</w:t>
      </w:r>
    </w:p>
    <w:p w14:paraId="3FEDD083" w14:textId="27046144" w:rsidR="00434FAC" w:rsidRPr="00BF475D" w:rsidRDefault="00434FAC" w:rsidP="00BF475D">
      <w:pPr>
        <w:numPr>
          <w:ilvl w:val="0"/>
          <w:numId w:val="37"/>
        </w:numPr>
        <w:rPr>
          <w:rFonts w:ascii="Calibri" w:hAnsi="Calibri" w:cs="Calibri"/>
          <w:sz w:val="22"/>
          <w:szCs w:val="22"/>
        </w:rPr>
      </w:pPr>
      <w:r w:rsidRPr="00BF475D">
        <w:rPr>
          <w:rFonts w:ascii="Calibri" w:hAnsi="Calibri" w:cs="Calibri"/>
          <w:sz w:val="22"/>
          <w:szCs w:val="22"/>
        </w:rPr>
        <w:t>Sovereignty in External Data Sharing: Extreme caution must be exercised when Tribal data is required to be shared or input into AI systems managed by external government entities (e.g., federal or state agencies). Such data sharing may expose the Nation's data to external jurisdictions and compromise its sovereignty. Any sharing of sovereign data with an external government's AI system requires a formal review of that system's data governance policies and explicit written approval from the Tribal Council or its designated body.</w:t>
      </w:r>
    </w:p>
    <w:p w14:paraId="216513AC" w14:textId="77777777" w:rsidR="00434FAC" w:rsidRPr="00B92B6E" w:rsidRDefault="00434FAC" w:rsidP="00CE17AB">
      <w:pPr>
        <w:pStyle w:val="Heading3"/>
        <w:spacing w:after="0"/>
        <w:rPr>
          <w:rFonts w:ascii="Fira Sans" w:hAnsi="Fira Sans"/>
          <w:sz w:val="24"/>
          <w:szCs w:val="24"/>
        </w:rPr>
      </w:pPr>
      <w:bookmarkStart w:id="31" w:name="_Toc208822633"/>
      <w:r w:rsidRPr="00B92B6E">
        <w:rPr>
          <w:rFonts w:ascii="Fira Sans" w:hAnsi="Fira Sans"/>
          <w:sz w:val="24"/>
          <w:szCs w:val="24"/>
        </w:rPr>
        <w:t>6.1.3 Financial and Legal Document Review</w:t>
      </w:r>
      <w:bookmarkEnd w:id="31"/>
    </w:p>
    <w:p w14:paraId="3DB07E68" w14:textId="77777777" w:rsidR="00434FAC" w:rsidRPr="00BF475D" w:rsidRDefault="00434FAC" w:rsidP="00BF475D">
      <w:pPr>
        <w:numPr>
          <w:ilvl w:val="0"/>
          <w:numId w:val="38"/>
        </w:numPr>
        <w:spacing w:after="0"/>
        <w:rPr>
          <w:rFonts w:ascii="Calibri" w:hAnsi="Calibri" w:cs="Calibri"/>
          <w:sz w:val="22"/>
          <w:szCs w:val="22"/>
        </w:rPr>
      </w:pPr>
      <w:r w:rsidRPr="00BF475D">
        <w:rPr>
          <w:rFonts w:ascii="Calibri" w:hAnsi="Calibri" w:cs="Calibri"/>
          <w:sz w:val="22"/>
          <w:szCs w:val="22"/>
        </w:rPr>
        <w:t>Drafting and Analysis: AI can be used as a tool to draft initial versions of financial reports, budgets, ordinances, or legal summaries.</w:t>
      </w:r>
    </w:p>
    <w:p w14:paraId="6C88DB0D" w14:textId="29232D42" w:rsidR="00434FAC" w:rsidRPr="00381D12" w:rsidRDefault="00434FAC" w:rsidP="00434FAC">
      <w:pPr>
        <w:numPr>
          <w:ilvl w:val="0"/>
          <w:numId w:val="38"/>
        </w:numPr>
        <w:rPr>
          <w:rFonts w:ascii="Calibri" w:hAnsi="Calibri" w:cs="Calibri"/>
          <w:sz w:val="22"/>
          <w:szCs w:val="22"/>
        </w:rPr>
      </w:pPr>
      <w:r w:rsidRPr="00BF475D">
        <w:rPr>
          <w:rFonts w:ascii="Calibri" w:hAnsi="Calibri" w:cs="Calibri"/>
          <w:sz w:val="22"/>
          <w:szCs w:val="22"/>
        </w:rPr>
        <w:t>Mandatory Expert Review: All AI-generated outputs that are financial, legal, or regulatory in nature must be meticulously reviewed, edited, and validated by qualified personnel within the appropriate department (e.g., Finance Department, Office of the General Counsel) before they are considered official, acted upon, or disseminated. The Nation retains full accountability for the accuracy and legal standing of its official documents.</w:t>
      </w:r>
    </w:p>
    <w:p w14:paraId="4B0111A0" w14:textId="2463DEE9" w:rsidR="00434FAC" w:rsidRPr="00434FAC" w:rsidRDefault="00000000" w:rsidP="00434FAC">
      <w:r>
        <w:pict w14:anchorId="58CF1478">
          <v:rect id="_x0000_i1028" style="width:0;height:1.5pt" o:hralign="center" o:hrstd="t" o:hrnoshade="t" o:hr="t" fillcolor="gray" stroked="f"/>
        </w:pict>
      </w:r>
    </w:p>
    <w:p w14:paraId="030DF6DA" w14:textId="77777777" w:rsidR="00434FAC" w:rsidRPr="001F7444" w:rsidRDefault="00434FAC" w:rsidP="00CE17AB">
      <w:pPr>
        <w:pStyle w:val="Heading3"/>
        <w:spacing w:after="0"/>
        <w:rPr>
          <w:rFonts w:ascii="Fira Sans" w:hAnsi="Fira Sans"/>
          <w:sz w:val="24"/>
          <w:szCs w:val="24"/>
        </w:rPr>
      </w:pPr>
      <w:bookmarkStart w:id="32" w:name="_Toc208822634"/>
      <w:r w:rsidRPr="001F7444">
        <w:rPr>
          <w:rFonts w:ascii="Fira Sans" w:hAnsi="Fira Sans"/>
          <w:sz w:val="24"/>
          <w:szCs w:val="24"/>
        </w:rPr>
        <w:t>6.2 Tribal Gaming &amp; Entertainment</w:t>
      </w:r>
      <w:bookmarkEnd w:id="32"/>
    </w:p>
    <w:p w14:paraId="49C3C6DC" w14:textId="77777777" w:rsidR="00434FAC" w:rsidRPr="00BF475D" w:rsidRDefault="00434FAC" w:rsidP="00434FAC">
      <w:pPr>
        <w:rPr>
          <w:rFonts w:ascii="Calibri" w:hAnsi="Calibri" w:cs="Calibri"/>
          <w:sz w:val="22"/>
          <w:szCs w:val="22"/>
        </w:rPr>
      </w:pPr>
      <w:r w:rsidRPr="00BF475D">
        <w:rPr>
          <w:rFonts w:ascii="Calibri" w:hAnsi="Calibri" w:cs="Calibri"/>
          <w:sz w:val="22"/>
          <w:szCs w:val="22"/>
        </w:rPr>
        <w:t>This section provides specific rules governing the use of AI within the Nation's gaming and hospitality enterprises. These rules are in addition to the general rules and are designed to address the unique regulatory, ethical, and operational environment of the gaming industry.</w:t>
      </w:r>
    </w:p>
    <w:p w14:paraId="76B0D291" w14:textId="77777777" w:rsidR="00434FAC" w:rsidRPr="00B92B6E" w:rsidRDefault="00434FAC" w:rsidP="00CE17AB">
      <w:pPr>
        <w:pStyle w:val="Heading3"/>
        <w:spacing w:after="0"/>
        <w:rPr>
          <w:rFonts w:ascii="Fira Sans" w:hAnsi="Fira Sans"/>
          <w:sz w:val="24"/>
          <w:szCs w:val="24"/>
        </w:rPr>
      </w:pPr>
      <w:bookmarkStart w:id="33" w:name="_Toc208822635"/>
      <w:r w:rsidRPr="00B92B6E">
        <w:rPr>
          <w:rFonts w:ascii="Fira Sans" w:hAnsi="Fira Sans"/>
          <w:sz w:val="24"/>
          <w:szCs w:val="24"/>
        </w:rPr>
        <w:t>6.2.1 Player Data and Analytics</w:t>
      </w:r>
      <w:bookmarkEnd w:id="33"/>
    </w:p>
    <w:p w14:paraId="788B040D" w14:textId="7EADAD93" w:rsidR="00434FAC" w:rsidRPr="00BF475D" w:rsidRDefault="00434FAC" w:rsidP="00BF475D">
      <w:pPr>
        <w:numPr>
          <w:ilvl w:val="0"/>
          <w:numId w:val="39"/>
        </w:numPr>
        <w:spacing w:after="0"/>
        <w:rPr>
          <w:rFonts w:ascii="Calibri" w:hAnsi="Calibri" w:cs="Calibri"/>
          <w:sz w:val="22"/>
          <w:szCs w:val="22"/>
        </w:rPr>
      </w:pPr>
      <w:r w:rsidRPr="00BF475D">
        <w:rPr>
          <w:rFonts w:ascii="Calibri" w:hAnsi="Calibri" w:cs="Calibri"/>
          <w:sz w:val="22"/>
          <w:szCs w:val="22"/>
        </w:rPr>
        <w:t>Compliance with Regulations: All use of player data in AI systems must comply strictly with the regulations set forth by the Gaming Commission, the National Indian Gaming Commission (NIGC), and, where applicable, standards such as the Payment Card Industry Data Security Standard (PCI DSS).</w:t>
      </w:r>
    </w:p>
    <w:p w14:paraId="08275ED6" w14:textId="69B5E63B" w:rsidR="00434FAC" w:rsidRPr="00BF475D" w:rsidRDefault="00434FAC" w:rsidP="00BF475D">
      <w:pPr>
        <w:numPr>
          <w:ilvl w:val="0"/>
          <w:numId w:val="39"/>
        </w:numPr>
        <w:rPr>
          <w:rFonts w:ascii="Calibri" w:hAnsi="Calibri" w:cs="Calibri"/>
          <w:sz w:val="22"/>
          <w:szCs w:val="22"/>
        </w:rPr>
      </w:pPr>
      <w:r w:rsidRPr="00BF475D">
        <w:rPr>
          <w:rFonts w:ascii="Calibri" w:hAnsi="Calibri" w:cs="Calibri"/>
          <w:sz w:val="22"/>
          <w:szCs w:val="22"/>
        </w:rPr>
        <w:t>Operational Efficiency: AI may be used for approved operational purposes, such as optimizing slot floor performance, analyzing guest traffic patterns, and improving marketing campaign efficiency, provided such use is consistent with all other provisions of this policy.</w:t>
      </w:r>
    </w:p>
    <w:p w14:paraId="696DF1CF" w14:textId="77777777" w:rsidR="00434FAC" w:rsidRPr="00B92B6E" w:rsidRDefault="00434FAC" w:rsidP="00CE17AB">
      <w:pPr>
        <w:pStyle w:val="Heading3"/>
        <w:spacing w:after="0"/>
        <w:rPr>
          <w:rFonts w:ascii="Fira Sans" w:hAnsi="Fira Sans"/>
          <w:sz w:val="24"/>
          <w:szCs w:val="24"/>
        </w:rPr>
      </w:pPr>
      <w:bookmarkStart w:id="34" w:name="_Toc208822636"/>
      <w:r w:rsidRPr="00B92B6E">
        <w:rPr>
          <w:rFonts w:ascii="Fira Sans" w:hAnsi="Fira Sans"/>
          <w:sz w:val="24"/>
          <w:szCs w:val="24"/>
        </w:rPr>
        <w:lastRenderedPageBreak/>
        <w:t>6.2.2 Responsible Gaming and Marketing Ethics</w:t>
      </w:r>
      <w:bookmarkEnd w:id="34"/>
    </w:p>
    <w:p w14:paraId="39E289A3" w14:textId="77777777" w:rsidR="00434FAC" w:rsidRPr="00BF475D" w:rsidRDefault="00434FAC" w:rsidP="00BF475D">
      <w:pPr>
        <w:numPr>
          <w:ilvl w:val="0"/>
          <w:numId w:val="40"/>
        </w:numPr>
        <w:spacing w:after="0"/>
        <w:rPr>
          <w:rFonts w:ascii="Calibri" w:hAnsi="Calibri" w:cs="Calibri"/>
          <w:sz w:val="22"/>
          <w:szCs w:val="22"/>
        </w:rPr>
      </w:pPr>
      <w:r w:rsidRPr="00BF475D">
        <w:rPr>
          <w:rFonts w:ascii="Calibri" w:hAnsi="Calibri" w:cs="Calibri"/>
          <w:sz w:val="22"/>
          <w:szCs w:val="22"/>
        </w:rPr>
        <w:t>The Primacy of Player Well-Being: The Nation has a fundamental ethical duty of care for its patrons. In the context of AI, this duty must take precedence over profit-maximization objectives.</w:t>
      </w:r>
    </w:p>
    <w:p w14:paraId="42C6FA39" w14:textId="13701D78" w:rsidR="00434FAC" w:rsidRPr="00BF475D" w:rsidRDefault="00434FAC" w:rsidP="00BF475D">
      <w:pPr>
        <w:numPr>
          <w:ilvl w:val="0"/>
          <w:numId w:val="40"/>
        </w:numPr>
        <w:spacing w:after="0"/>
        <w:rPr>
          <w:rFonts w:ascii="Calibri" w:hAnsi="Calibri" w:cs="Calibri"/>
          <w:sz w:val="22"/>
          <w:szCs w:val="22"/>
        </w:rPr>
      </w:pPr>
      <w:r w:rsidRPr="00BF475D">
        <w:rPr>
          <w:rFonts w:ascii="Calibri" w:hAnsi="Calibri" w:cs="Calibri"/>
          <w:sz w:val="22"/>
          <w:szCs w:val="22"/>
        </w:rPr>
        <w:t>Prohibition on Exploitative Targeting: AI systems shall not be designed or used to identify and target players who are susceptible to addiction or are exhibiting behaviors associated with problem gambling for the purpose of exploitative marketing or to induce further play. Analyzing player data to find and exploit vulnerabilities is a direct violation of the CARE principle of minimizing harm and is strictly forbidden.</w:t>
      </w:r>
    </w:p>
    <w:p w14:paraId="667A2589" w14:textId="3028C17F" w:rsidR="00434FAC" w:rsidRPr="00BF475D" w:rsidRDefault="00434FAC" w:rsidP="00BF475D">
      <w:pPr>
        <w:numPr>
          <w:ilvl w:val="0"/>
          <w:numId w:val="40"/>
        </w:numPr>
        <w:spacing w:after="0"/>
        <w:rPr>
          <w:rFonts w:ascii="Calibri" w:hAnsi="Calibri" w:cs="Calibri"/>
          <w:sz w:val="22"/>
          <w:szCs w:val="22"/>
        </w:rPr>
      </w:pPr>
      <w:r w:rsidRPr="00BF475D">
        <w:rPr>
          <w:rFonts w:ascii="Calibri" w:hAnsi="Calibri" w:cs="Calibri"/>
          <w:sz w:val="22"/>
          <w:szCs w:val="22"/>
        </w:rPr>
        <w:t xml:space="preserve">Permitted Use for Player Protection: AI systems may be used to proactively identify patrons exhibiting early warning signs or behavioral markers of problem gambling. The sole purpose of such identification must be to initiate </w:t>
      </w:r>
      <w:proofErr w:type="gramStart"/>
      <w:r w:rsidRPr="00BF475D">
        <w:rPr>
          <w:rFonts w:ascii="Calibri" w:hAnsi="Calibri" w:cs="Calibri"/>
          <w:sz w:val="22"/>
          <w:szCs w:val="22"/>
        </w:rPr>
        <w:t>a responsible</w:t>
      </w:r>
      <w:proofErr w:type="gramEnd"/>
      <w:r w:rsidRPr="00BF475D">
        <w:rPr>
          <w:rFonts w:ascii="Calibri" w:hAnsi="Calibri" w:cs="Calibri"/>
          <w:sz w:val="22"/>
          <w:szCs w:val="22"/>
        </w:rPr>
        <w:t xml:space="preserve"> gaming intervention by trained personnel, in accordance with the property's approved Responsible Gaming Program. </w:t>
      </w:r>
      <w:proofErr w:type="gramStart"/>
      <w:r w:rsidRPr="00BF475D">
        <w:rPr>
          <w:rFonts w:ascii="Calibri" w:hAnsi="Calibri" w:cs="Calibri"/>
          <w:sz w:val="22"/>
          <w:szCs w:val="22"/>
        </w:rPr>
        <w:t>This use</w:t>
      </w:r>
      <w:proofErr w:type="gramEnd"/>
      <w:r w:rsidRPr="00BF475D">
        <w:rPr>
          <w:rFonts w:ascii="Calibri" w:hAnsi="Calibri" w:cs="Calibri"/>
          <w:sz w:val="22"/>
          <w:szCs w:val="22"/>
        </w:rPr>
        <w:t xml:space="preserve"> case must be designed and audited for player protection, not for profiling or profit.</w:t>
      </w:r>
    </w:p>
    <w:p w14:paraId="76FEE7E3" w14:textId="77777777" w:rsidR="00434FAC" w:rsidRPr="00BF475D" w:rsidRDefault="00434FAC" w:rsidP="00BF475D">
      <w:pPr>
        <w:numPr>
          <w:ilvl w:val="0"/>
          <w:numId w:val="40"/>
        </w:numPr>
        <w:spacing w:after="0"/>
        <w:rPr>
          <w:rFonts w:ascii="Calibri" w:hAnsi="Calibri" w:cs="Calibri"/>
          <w:sz w:val="22"/>
          <w:szCs w:val="22"/>
        </w:rPr>
      </w:pPr>
      <w:r w:rsidRPr="00BF475D">
        <w:rPr>
          <w:rFonts w:ascii="Calibri" w:hAnsi="Calibri" w:cs="Calibri"/>
          <w:sz w:val="22"/>
          <w:szCs w:val="22"/>
        </w:rPr>
        <w:t>Resolving the Inherent Conflict: The same AI analytics can be interpreted for marketing or for responsible gaming. This policy explicitly resolves this conflict. If an AI system flags a patron for behavior that could be interpreted as both a high-value marketing opportunity and a potential responsible gaming concern, the responsible gaming protocol must take precedence. Marketing actions targeting that patron must be suspended pending a review under the Responsible Gaming Program.</w:t>
      </w:r>
    </w:p>
    <w:p w14:paraId="2C12D79E" w14:textId="5C1B6A4B" w:rsidR="00434FAC" w:rsidRPr="00BF475D" w:rsidRDefault="00434FAC" w:rsidP="00BF475D">
      <w:pPr>
        <w:numPr>
          <w:ilvl w:val="0"/>
          <w:numId w:val="40"/>
        </w:numPr>
        <w:rPr>
          <w:rFonts w:ascii="Calibri" w:hAnsi="Calibri" w:cs="Calibri"/>
          <w:sz w:val="22"/>
          <w:szCs w:val="22"/>
        </w:rPr>
      </w:pPr>
      <w:r w:rsidRPr="00BF475D">
        <w:rPr>
          <w:rFonts w:ascii="Calibri" w:hAnsi="Calibri" w:cs="Calibri"/>
          <w:sz w:val="22"/>
          <w:szCs w:val="22"/>
        </w:rPr>
        <w:t>Marketing Compliance Review: All AI-driven marketing strategies, segmentation models, and promotional campaigns must be reviewed and approved by both the Marketing and Compliance departments to ensure they are not predatory, deceptive, or otherwise in violation of the Nation's commitment to ethical operations.</w:t>
      </w:r>
    </w:p>
    <w:p w14:paraId="69E68E74" w14:textId="77777777" w:rsidR="00434FAC" w:rsidRPr="00B92B6E" w:rsidRDefault="00434FAC" w:rsidP="00CE17AB">
      <w:pPr>
        <w:pStyle w:val="Heading3"/>
        <w:spacing w:after="0"/>
        <w:rPr>
          <w:rFonts w:ascii="Fira Sans" w:hAnsi="Fira Sans"/>
          <w:sz w:val="24"/>
          <w:szCs w:val="24"/>
        </w:rPr>
      </w:pPr>
      <w:bookmarkStart w:id="35" w:name="_Toc208822637"/>
      <w:r w:rsidRPr="00B92B6E">
        <w:rPr>
          <w:rFonts w:ascii="Fira Sans" w:hAnsi="Fira Sans"/>
          <w:sz w:val="24"/>
          <w:szCs w:val="24"/>
        </w:rPr>
        <w:t>6.2.3 Security and Fraud Detection</w:t>
      </w:r>
      <w:bookmarkEnd w:id="35"/>
    </w:p>
    <w:p w14:paraId="4CF3F1F9" w14:textId="2CF6DC2A" w:rsidR="00434FAC" w:rsidRPr="00BF475D" w:rsidRDefault="00434FAC" w:rsidP="00BF475D">
      <w:pPr>
        <w:numPr>
          <w:ilvl w:val="0"/>
          <w:numId w:val="41"/>
        </w:numPr>
        <w:spacing w:after="0"/>
        <w:rPr>
          <w:rFonts w:ascii="Calibri" w:hAnsi="Calibri" w:cs="Calibri"/>
          <w:sz w:val="22"/>
          <w:szCs w:val="22"/>
        </w:rPr>
      </w:pPr>
      <w:r w:rsidRPr="00BF475D">
        <w:rPr>
          <w:rFonts w:ascii="Calibri" w:hAnsi="Calibri" w:cs="Calibri"/>
          <w:sz w:val="22"/>
          <w:szCs w:val="22"/>
        </w:rPr>
        <w:t>Authorized Security Applications: AI may be employed for legitimate security and asset protection purposes, including the detection of financial fraud, the prevention of money laundering, identifying cheating at table games or slot machines, and monitoring for other illicit activities.</w:t>
      </w:r>
    </w:p>
    <w:p w14:paraId="44025943" w14:textId="1A1CEB7A" w:rsidR="00434FAC" w:rsidRPr="00264D6B" w:rsidRDefault="00434FAC" w:rsidP="00434FAC">
      <w:pPr>
        <w:numPr>
          <w:ilvl w:val="0"/>
          <w:numId w:val="41"/>
        </w:numPr>
        <w:rPr>
          <w:rFonts w:ascii="Calibri" w:hAnsi="Calibri" w:cs="Calibri"/>
          <w:sz w:val="22"/>
          <w:szCs w:val="22"/>
        </w:rPr>
      </w:pPr>
      <w:r w:rsidRPr="00BF475D">
        <w:rPr>
          <w:rFonts w:ascii="Calibri" w:hAnsi="Calibri" w:cs="Calibri"/>
          <w:sz w:val="22"/>
          <w:szCs w:val="22"/>
        </w:rPr>
        <w:t xml:space="preserve">Governance of Biometric and Surveillance AI: The use of advanced AI surveillance technologies, such as facial recognition or emotional recognition systems, carries significant privacy and ethical implications. Any proposal to deploy such technology requires </w:t>
      </w:r>
      <w:proofErr w:type="gramStart"/>
      <w:r w:rsidRPr="00BF475D">
        <w:rPr>
          <w:rFonts w:ascii="Calibri" w:hAnsi="Calibri" w:cs="Calibri"/>
          <w:sz w:val="22"/>
          <w:szCs w:val="22"/>
        </w:rPr>
        <w:t>a separate</w:t>
      </w:r>
      <w:proofErr w:type="gramEnd"/>
      <w:r w:rsidRPr="00BF475D">
        <w:rPr>
          <w:rFonts w:ascii="Calibri" w:hAnsi="Calibri" w:cs="Calibri"/>
          <w:sz w:val="22"/>
          <w:szCs w:val="22"/>
        </w:rPr>
        <w:t>, comprehensive review and explicit approval from the Tribal Council and the Gaming Commission. The review must assess the technology's accuracy, potential for bias, and alignment with the community's values.</w:t>
      </w:r>
    </w:p>
    <w:p w14:paraId="6005F42D" w14:textId="1DDF14F8" w:rsidR="00434FAC" w:rsidRPr="00434FAC" w:rsidRDefault="00000000" w:rsidP="00434FAC">
      <w:r>
        <w:pict w14:anchorId="1B5132C3">
          <v:rect id="_x0000_i1029" style="width:0;height:1.5pt" o:hralign="center" o:hrstd="t" o:hrnoshade="t" o:hr="t" fillcolor="gray" stroked="f"/>
        </w:pict>
      </w:r>
    </w:p>
    <w:p w14:paraId="5F75476D" w14:textId="77777777" w:rsidR="00434FAC" w:rsidRPr="001F7444" w:rsidRDefault="00434FAC" w:rsidP="00CE17AB">
      <w:pPr>
        <w:pStyle w:val="Heading3"/>
        <w:spacing w:after="0"/>
        <w:rPr>
          <w:rFonts w:ascii="Fira Sans" w:hAnsi="Fira Sans"/>
          <w:sz w:val="24"/>
          <w:szCs w:val="24"/>
        </w:rPr>
      </w:pPr>
      <w:bookmarkStart w:id="36" w:name="_Toc208822638"/>
      <w:r w:rsidRPr="001F7444">
        <w:rPr>
          <w:rFonts w:ascii="Fira Sans" w:hAnsi="Fira Sans"/>
          <w:sz w:val="24"/>
          <w:szCs w:val="24"/>
        </w:rPr>
        <w:lastRenderedPageBreak/>
        <w:t>6.3 Tribal Health</w:t>
      </w:r>
      <w:bookmarkEnd w:id="36"/>
    </w:p>
    <w:p w14:paraId="3141FBB6" w14:textId="77777777" w:rsidR="00434FAC" w:rsidRPr="00BF475D" w:rsidRDefault="00434FAC" w:rsidP="00434FAC">
      <w:pPr>
        <w:rPr>
          <w:rFonts w:ascii="Calibri" w:hAnsi="Calibri" w:cs="Calibri"/>
          <w:sz w:val="22"/>
          <w:szCs w:val="22"/>
        </w:rPr>
      </w:pPr>
      <w:r w:rsidRPr="00BF475D">
        <w:rPr>
          <w:rFonts w:ascii="Calibri" w:hAnsi="Calibri" w:cs="Calibri"/>
          <w:sz w:val="22"/>
          <w:szCs w:val="22"/>
        </w:rPr>
        <w:t>This section provides specific rules governing the use of AI within the Nation's health clinics, hospitals, and other healthcare-related programs. These rules are paramount for protecting patient safety, privacy, and the sensitive health data of the community.</w:t>
      </w:r>
    </w:p>
    <w:p w14:paraId="4B624A29" w14:textId="77777777" w:rsidR="00434FAC" w:rsidRPr="00B92B6E" w:rsidRDefault="00434FAC" w:rsidP="00CE17AB">
      <w:pPr>
        <w:pStyle w:val="Heading3"/>
        <w:spacing w:after="0"/>
        <w:rPr>
          <w:rFonts w:ascii="Fira Sans" w:hAnsi="Fira Sans"/>
          <w:sz w:val="24"/>
          <w:szCs w:val="24"/>
        </w:rPr>
      </w:pPr>
      <w:bookmarkStart w:id="37" w:name="_Toc208822639"/>
      <w:r w:rsidRPr="00B92B6E">
        <w:rPr>
          <w:rFonts w:ascii="Fira Sans" w:hAnsi="Fira Sans"/>
          <w:sz w:val="24"/>
          <w:szCs w:val="24"/>
        </w:rPr>
        <w:t>6.3.1 Strict HIPAA Compliance</w:t>
      </w:r>
      <w:bookmarkEnd w:id="37"/>
    </w:p>
    <w:p w14:paraId="14C3E6F5" w14:textId="7981FB76" w:rsidR="00434FAC" w:rsidRPr="00BF475D" w:rsidRDefault="00434FAC" w:rsidP="00434FAC">
      <w:pPr>
        <w:numPr>
          <w:ilvl w:val="0"/>
          <w:numId w:val="42"/>
        </w:numPr>
        <w:rPr>
          <w:rFonts w:ascii="Calibri" w:hAnsi="Calibri" w:cs="Calibri"/>
          <w:sz w:val="22"/>
          <w:szCs w:val="22"/>
        </w:rPr>
      </w:pPr>
      <w:r w:rsidRPr="00BF475D">
        <w:rPr>
          <w:rFonts w:ascii="Calibri" w:hAnsi="Calibri" w:cs="Calibri"/>
          <w:sz w:val="22"/>
          <w:szCs w:val="22"/>
        </w:rPr>
        <w:t>Absolute Requirement: All procurement and use of AI in any healthcare context must be in absolute compliance with the Health Insurance Portability and Accountability Act (HIPAA), including its Privacy Rule, Security Rule, and Breach Notification Rule. This is a baseline legal and ethical requirement.</w:t>
      </w:r>
    </w:p>
    <w:p w14:paraId="3A7FF33C" w14:textId="77777777" w:rsidR="00434FAC" w:rsidRPr="00B92B6E" w:rsidRDefault="00434FAC" w:rsidP="00CE17AB">
      <w:pPr>
        <w:pStyle w:val="Heading3"/>
        <w:spacing w:after="0"/>
        <w:rPr>
          <w:rFonts w:ascii="Fira Sans" w:hAnsi="Fira Sans"/>
          <w:sz w:val="24"/>
          <w:szCs w:val="24"/>
        </w:rPr>
      </w:pPr>
      <w:bookmarkStart w:id="38" w:name="_Toc208822640"/>
      <w:r w:rsidRPr="00B92B6E">
        <w:rPr>
          <w:rFonts w:ascii="Fira Sans" w:hAnsi="Fira Sans"/>
          <w:sz w:val="24"/>
          <w:szCs w:val="24"/>
        </w:rPr>
        <w:t>6.3.2 Protection of Protected Health Information (PHI)</w:t>
      </w:r>
      <w:bookmarkEnd w:id="38"/>
    </w:p>
    <w:p w14:paraId="59A32168" w14:textId="23308572" w:rsidR="00434FAC" w:rsidRPr="00BF475D" w:rsidRDefault="00434FAC" w:rsidP="00CE17AB">
      <w:pPr>
        <w:numPr>
          <w:ilvl w:val="0"/>
          <w:numId w:val="43"/>
        </w:numPr>
        <w:spacing w:after="0"/>
        <w:rPr>
          <w:rFonts w:ascii="Calibri" w:hAnsi="Calibri" w:cs="Calibri"/>
          <w:sz w:val="22"/>
          <w:szCs w:val="22"/>
        </w:rPr>
      </w:pPr>
      <w:r w:rsidRPr="00BF475D">
        <w:rPr>
          <w:rFonts w:ascii="Calibri" w:hAnsi="Calibri" w:cs="Calibri"/>
          <w:sz w:val="22"/>
          <w:szCs w:val="22"/>
        </w:rPr>
        <w:t>Prohibition on Use in Non-Approved Systems: Protected Health Information (PHI) or electronic PHI (ePHI) shall not be input into, processed by, or stored in any AI system that has not been specifically designed, secured, and approved for clinical use. The use of any public, commercial, or general-purpose AI tool (e.g., ChatGPT, Google Gemini) with PHI is a severe violation of this policy and federal law, and it will result in immediate disciplinary action.</w:t>
      </w:r>
    </w:p>
    <w:p w14:paraId="6245801A" w14:textId="132A4144" w:rsidR="00434FAC" w:rsidRPr="00BF475D" w:rsidRDefault="00434FAC" w:rsidP="00CE17AB">
      <w:pPr>
        <w:numPr>
          <w:ilvl w:val="0"/>
          <w:numId w:val="43"/>
        </w:numPr>
        <w:spacing w:after="0"/>
        <w:rPr>
          <w:rFonts w:ascii="Calibri" w:hAnsi="Calibri" w:cs="Calibri"/>
          <w:sz w:val="22"/>
          <w:szCs w:val="22"/>
        </w:rPr>
      </w:pPr>
      <w:proofErr w:type="gramStart"/>
      <w:r w:rsidRPr="00BF475D">
        <w:rPr>
          <w:rFonts w:ascii="Calibri" w:hAnsi="Calibri" w:cs="Calibri"/>
          <w:sz w:val="22"/>
          <w:szCs w:val="22"/>
        </w:rPr>
        <w:t>Business Associate Agreements (BAA): Before</w:t>
      </w:r>
      <w:proofErr w:type="gramEnd"/>
      <w:r w:rsidRPr="00BF475D">
        <w:rPr>
          <w:rFonts w:ascii="Calibri" w:hAnsi="Calibri" w:cs="Calibri"/>
          <w:sz w:val="22"/>
          <w:szCs w:val="22"/>
        </w:rPr>
        <w:t xml:space="preserve"> any third-party AI system is granted access to PHI, a comprehensive, </w:t>
      </w:r>
      <w:proofErr w:type="gramStart"/>
      <w:r w:rsidRPr="00BF475D">
        <w:rPr>
          <w:rFonts w:ascii="Calibri" w:hAnsi="Calibri" w:cs="Calibri"/>
          <w:sz w:val="22"/>
          <w:szCs w:val="22"/>
        </w:rPr>
        <w:t>legally-vetted</w:t>
      </w:r>
      <w:proofErr w:type="gramEnd"/>
      <w:r w:rsidRPr="00BF475D">
        <w:rPr>
          <w:rFonts w:ascii="Calibri" w:hAnsi="Calibri" w:cs="Calibri"/>
          <w:sz w:val="22"/>
          <w:szCs w:val="22"/>
        </w:rPr>
        <w:t xml:space="preserve"> Business Associate Agreement (BAA) must be in place with the vendor. This BAA must, at a minimum, meet all requirements under HIPAA.</w:t>
      </w:r>
    </w:p>
    <w:p w14:paraId="1F503FD0" w14:textId="77777777" w:rsidR="00434FAC" w:rsidRPr="00BF475D" w:rsidRDefault="00434FAC" w:rsidP="00CE17AB">
      <w:pPr>
        <w:numPr>
          <w:ilvl w:val="0"/>
          <w:numId w:val="43"/>
        </w:numPr>
        <w:spacing w:after="0"/>
        <w:rPr>
          <w:rFonts w:ascii="Calibri" w:hAnsi="Calibri" w:cs="Calibri"/>
          <w:sz w:val="22"/>
          <w:szCs w:val="22"/>
        </w:rPr>
      </w:pPr>
      <w:r w:rsidRPr="00BF475D">
        <w:rPr>
          <w:rFonts w:ascii="Calibri" w:hAnsi="Calibri" w:cs="Calibri"/>
          <w:sz w:val="22"/>
          <w:szCs w:val="22"/>
        </w:rPr>
        <w:t>Sovereignty-Informed Vendor Contracts: Recognizing that standard BAAs may not fully protect the Nation's sovereign interests, all AI vendor contracts involving PHI must include additional clauses that go beyond HIPAA requirements. These clauses must:</w:t>
      </w:r>
    </w:p>
    <w:p w14:paraId="64ACC449" w14:textId="76DA0AE4" w:rsidR="00434FAC" w:rsidRPr="00BF475D" w:rsidRDefault="00434FAC" w:rsidP="00BF475D">
      <w:pPr>
        <w:numPr>
          <w:ilvl w:val="1"/>
          <w:numId w:val="43"/>
        </w:numPr>
        <w:spacing w:after="0"/>
        <w:rPr>
          <w:rFonts w:ascii="Calibri" w:hAnsi="Calibri" w:cs="Calibri"/>
          <w:sz w:val="22"/>
          <w:szCs w:val="22"/>
        </w:rPr>
      </w:pPr>
      <w:r w:rsidRPr="00BF475D">
        <w:rPr>
          <w:rFonts w:ascii="Calibri" w:hAnsi="Calibri" w:cs="Calibri"/>
          <w:sz w:val="22"/>
          <w:szCs w:val="22"/>
        </w:rPr>
        <w:t>Explicitly affirm the [TRIBAL ENTITY]'s sole ownership of its health data.</w:t>
      </w:r>
    </w:p>
    <w:p w14:paraId="52F3076D" w14:textId="77777777" w:rsidR="00434FAC" w:rsidRPr="00BF475D" w:rsidRDefault="00434FAC" w:rsidP="00BF475D">
      <w:pPr>
        <w:numPr>
          <w:ilvl w:val="1"/>
          <w:numId w:val="43"/>
        </w:numPr>
        <w:spacing w:after="0"/>
        <w:rPr>
          <w:rFonts w:ascii="Calibri" w:hAnsi="Calibri" w:cs="Calibri"/>
          <w:sz w:val="22"/>
          <w:szCs w:val="22"/>
        </w:rPr>
      </w:pPr>
      <w:r w:rsidRPr="00BF475D">
        <w:rPr>
          <w:rFonts w:ascii="Calibri" w:hAnsi="Calibri" w:cs="Calibri"/>
          <w:sz w:val="22"/>
          <w:szCs w:val="22"/>
        </w:rPr>
        <w:t>Strictly prohibit the vendor from using the Nation's de-identified PHI for its own internal research, model training for other clients, or any purpose not directly related to providing the contracted service to the Nation, thereby upholding the CARE principle of Collective Benefit.</w:t>
      </w:r>
    </w:p>
    <w:p w14:paraId="5070B172" w14:textId="5B249B49" w:rsidR="00434FAC" w:rsidRPr="00BF475D" w:rsidRDefault="00434FAC" w:rsidP="00BF475D">
      <w:pPr>
        <w:numPr>
          <w:ilvl w:val="1"/>
          <w:numId w:val="43"/>
        </w:numPr>
        <w:rPr>
          <w:rFonts w:ascii="Calibri" w:hAnsi="Calibri" w:cs="Calibri"/>
          <w:sz w:val="22"/>
          <w:szCs w:val="22"/>
        </w:rPr>
      </w:pPr>
      <w:r w:rsidRPr="00BF475D">
        <w:rPr>
          <w:rFonts w:ascii="Calibri" w:hAnsi="Calibri" w:cs="Calibri"/>
          <w:sz w:val="22"/>
          <w:szCs w:val="22"/>
        </w:rPr>
        <w:t>Guarantee a clear, technically feasible, and financially reasonable data exit strategy, ensuring the Nation can retrieve its data in a usable format and terminate the service without being subject to "vendor lock-in.</w:t>
      </w:r>
      <w:r w:rsidR="000A4937">
        <w:rPr>
          <w:rFonts w:ascii="Calibri" w:hAnsi="Calibri" w:cs="Calibri"/>
          <w:sz w:val="22"/>
          <w:szCs w:val="22"/>
        </w:rPr>
        <w:t>”</w:t>
      </w:r>
      <w:r w:rsidRPr="00BF475D">
        <w:rPr>
          <w:rFonts w:ascii="Calibri" w:hAnsi="Calibri" w:cs="Calibri"/>
          <w:sz w:val="22"/>
          <w:szCs w:val="22"/>
        </w:rPr>
        <w:t xml:space="preserve"> This upholds the OCAP® principles of Control and Possession.</w:t>
      </w:r>
    </w:p>
    <w:p w14:paraId="0E543BE2" w14:textId="77777777" w:rsidR="00434FAC" w:rsidRPr="00B92B6E" w:rsidRDefault="00434FAC" w:rsidP="00CE17AB">
      <w:pPr>
        <w:pStyle w:val="Heading3"/>
        <w:spacing w:after="0"/>
        <w:rPr>
          <w:rFonts w:ascii="Fira Sans" w:hAnsi="Fira Sans"/>
          <w:sz w:val="24"/>
          <w:szCs w:val="24"/>
        </w:rPr>
      </w:pPr>
      <w:bookmarkStart w:id="39" w:name="_Toc208822641"/>
      <w:r w:rsidRPr="00B92B6E">
        <w:rPr>
          <w:rFonts w:ascii="Fira Sans" w:hAnsi="Fira Sans"/>
          <w:sz w:val="24"/>
          <w:szCs w:val="24"/>
        </w:rPr>
        <w:t>6.3.3 Clinical Oversight and Accountability</w:t>
      </w:r>
      <w:bookmarkEnd w:id="39"/>
    </w:p>
    <w:p w14:paraId="5089FBEE" w14:textId="793319FC" w:rsidR="00434FAC" w:rsidRPr="00BF475D" w:rsidRDefault="00434FAC" w:rsidP="00BF475D">
      <w:pPr>
        <w:numPr>
          <w:ilvl w:val="0"/>
          <w:numId w:val="44"/>
        </w:numPr>
        <w:spacing w:after="0"/>
        <w:rPr>
          <w:rFonts w:ascii="Calibri" w:hAnsi="Calibri" w:cs="Calibri"/>
          <w:sz w:val="22"/>
          <w:szCs w:val="22"/>
        </w:rPr>
      </w:pPr>
      <w:r w:rsidRPr="00BF475D">
        <w:rPr>
          <w:rFonts w:ascii="Calibri" w:hAnsi="Calibri" w:cs="Calibri"/>
          <w:sz w:val="22"/>
          <w:szCs w:val="22"/>
        </w:rPr>
        <w:t>AI as a Clinical Support Tool: AI systems may be used to support clinical activities, such as analyzing medical images (e.g., X-rays, MRIs), predicting disease risk from lab results, or automating the summarization of clinical notes.</w:t>
      </w:r>
    </w:p>
    <w:p w14:paraId="5892C774" w14:textId="77777777" w:rsidR="00434FAC" w:rsidRPr="00BF475D" w:rsidRDefault="00434FAC" w:rsidP="00BF475D">
      <w:pPr>
        <w:numPr>
          <w:ilvl w:val="0"/>
          <w:numId w:val="44"/>
        </w:numPr>
        <w:rPr>
          <w:rFonts w:ascii="Calibri" w:hAnsi="Calibri" w:cs="Calibri"/>
          <w:sz w:val="22"/>
          <w:szCs w:val="22"/>
        </w:rPr>
      </w:pPr>
      <w:r w:rsidRPr="00BF475D">
        <w:rPr>
          <w:rFonts w:ascii="Calibri" w:hAnsi="Calibri" w:cs="Calibri"/>
          <w:sz w:val="22"/>
          <w:szCs w:val="22"/>
        </w:rPr>
        <w:t xml:space="preserve">Final Decision by Human Clinician: Any AI-generated output related to a patient's diagnosis, treatment plan, medication order, or any other aspect of clinical care management is considered advisory only. The final medical decision and ultimate responsibility for patient care must reside </w:t>
      </w:r>
      <w:r w:rsidRPr="00BF475D">
        <w:rPr>
          <w:rFonts w:ascii="Calibri" w:hAnsi="Calibri" w:cs="Calibri"/>
          <w:sz w:val="22"/>
          <w:szCs w:val="22"/>
        </w:rPr>
        <w:lastRenderedPageBreak/>
        <w:t xml:space="preserve">with a qualified, licensed healthcare professional. </w:t>
      </w:r>
      <w:proofErr w:type="gramStart"/>
      <w:r w:rsidRPr="00BF475D">
        <w:rPr>
          <w:rFonts w:ascii="Calibri" w:hAnsi="Calibri" w:cs="Calibri"/>
          <w:sz w:val="22"/>
          <w:szCs w:val="22"/>
        </w:rPr>
        <w:t>The AI</w:t>
      </w:r>
      <w:proofErr w:type="gramEnd"/>
      <w:r w:rsidRPr="00BF475D">
        <w:rPr>
          <w:rFonts w:ascii="Calibri" w:hAnsi="Calibri" w:cs="Calibri"/>
          <w:sz w:val="22"/>
          <w:szCs w:val="22"/>
        </w:rPr>
        <w:t xml:space="preserve"> is a tool to augment the clinician's expertise, not to replace it.</w:t>
      </w:r>
    </w:p>
    <w:p w14:paraId="11FA9FDC" w14:textId="77777777" w:rsidR="00434FAC" w:rsidRPr="00B92B6E" w:rsidRDefault="00434FAC" w:rsidP="00CE17AB">
      <w:pPr>
        <w:pStyle w:val="Heading3"/>
        <w:spacing w:after="0"/>
        <w:rPr>
          <w:rFonts w:ascii="Fira Sans" w:hAnsi="Fira Sans"/>
          <w:sz w:val="24"/>
          <w:szCs w:val="24"/>
        </w:rPr>
      </w:pPr>
      <w:bookmarkStart w:id="40" w:name="_Toc208822642"/>
      <w:r w:rsidRPr="00B92B6E">
        <w:rPr>
          <w:rFonts w:ascii="Fira Sans" w:hAnsi="Fira Sans"/>
          <w:sz w:val="24"/>
          <w:szCs w:val="24"/>
        </w:rPr>
        <w:t>6.3.4 Data De-identification and Minimization</w:t>
      </w:r>
      <w:bookmarkEnd w:id="40"/>
    </w:p>
    <w:p w14:paraId="56D371EB" w14:textId="0D8DA19B" w:rsidR="00434FAC" w:rsidRPr="00BF475D" w:rsidRDefault="00434FAC" w:rsidP="00BF475D">
      <w:pPr>
        <w:numPr>
          <w:ilvl w:val="0"/>
          <w:numId w:val="45"/>
        </w:numPr>
        <w:spacing w:after="0"/>
        <w:rPr>
          <w:rFonts w:ascii="Calibri" w:hAnsi="Calibri" w:cs="Calibri"/>
          <w:sz w:val="22"/>
          <w:szCs w:val="22"/>
        </w:rPr>
      </w:pPr>
      <w:r w:rsidRPr="00BF475D">
        <w:rPr>
          <w:rFonts w:ascii="Calibri" w:hAnsi="Calibri" w:cs="Calibri"/>
          <w:sz w:val="22"/>
          <w:szCs w:val="22"/>
        </w:rPr>
        <w:t>De-identification as a Best Practice: Whenever feasible, AI models used for research, analytics, or training should utilize de-identified data. The process of de-identification must follow one of the methods prescribed by HIPAA (Safe Harbor or Expert Determination) to ensure patient privacy is protected.</w:t>
      </w:r>
    </w:p>
    <w:p w14:paraId="08C62AA7" w14:textId="553F6413" w:rsidR="00434FAC" w:rsidRPr="00BF475D" w:rsidRDefault="00434FAC" w:rsidP="00BF475D">
      <w:pPr>
        <w:numPr>
          <w:ilvl w:val="0"/>
          <w:numId w:val="45"/>
        </w:numPr>
        <w:rPr>
          <w:rFonts w:ascii="Calibri" w:hAnsi="Calibri" w:cs="Calibri"/>
          <w:sz w:val="22"/>
          <w:szCs w:val="22"/>
        </w:rPr>
      </w:pPr>
      <w:r w:rsidRPr="00BF475D">
        <w:rPr>
          <w:rFonts w:ascii="Calibri" w:hAnsi="Calibri" w:cs="Calibri"/>
          <w:sz w:val="22"/>
          <w:szCs w:val="22"/>
        </w:rPr>
        <w:t xml:space="preserve">Minimum Necessary Standard: The HIPAA "minimum necessary" standard must be strictly applied to all AI systems. Any AI tool should be configured to access only the specific data elements of PHI that are </w:t>
      </w:r>
      <w:proofErr w:type="gramStart"/>
      <w:r w:rsidRPr="00BF475D">
        <w:rPr>
          <w:rFonts w:ascii="Calibri" w:hAnsi="Calibri" w:cs="Calibri"/>
          <w:sz w:val="22"/>
          <w:szCs w:val="22"/>
        </w:rPr>
        <w:t>absolutely essential</w:t>
      </w:r>
      <w:proofErr w:type="gramEnd"/>
      <w:r w:rsidRPr="00BF475D">
        <w:rPr>
          <w:rFonts w:ascii="Calibri" w:hAnsi="Calibri" w:cs="Calibri"/>
          <w:sz w:val="22"/>
          <w:szCs w:val="22"/>
        </w:rPr>
        <w:t xml:space="preserve"> for it to perform its designated function.</w:t>
      </w:r>
    </w:p>
    <w:p w14:paraId="355EF9D2" w14:textId="77777777" w:rsidR="00434FAC" w:rsidRPr="00B92B6E" w:rsidRDefault="00434FAC" w:rsidP="00CE17AB">
      <w:pPr>
        <w:pStyle w:val="Heading3"/>
        <w:spacing w:after="0"/>
        <w:rPr>
          <w:rFonts w:ascii="Fira Sans" w:hAnsi="Fira Sans"/>
          <w:sz w:val="24"/>
          <w:szCs w:val="24"/>
        </w:rPr>
      </w:pPr>
      <w:bookmarkStart w:id="41" w:name="_Toc208822643"/>
      <w:r w:rsidRPr="00B92B6E">
        <w:rPr>
          <w:rFonts w:ascii="Fira Sans" w:hAnsi="Fira Sans"/>
          <w:sz w:val="24"/>
          <w:szCs w:val="24"/>
        </w:rPr>
        <w:t>6.3.5 Patient Consent and Transparency</w:t>
      </w:r>
      <w:bookmarkEnd w:id="41"/>
    </w:p>
    <w:p w14:paraId="17A2CD20" w14:textId="20AA04DB" w:rsidR="00434FAC" w:rsidRPr="00BF475D" w:rsidRDefault="00434FAC" w:rsidP="00434FAC">
      <w:pPr>
        <w:numPr>
          <w:ilvl w:val="0"/>
          <w:numId w:val="46"/>
        </w:numPr>
        <w:rPr>
          <w:rFonts w:ascii="Calibri" w:hAnsi="Calibri" w:cs="Calibri"/>
          <w:sz w:val="22"/>
          <w:szCs w:val="22"/>
        </w:rPr>
      </w:pPr>
      <w:r w:rsidRPr="00BF475D">
        <w:rPr>
          <w:rFonts w:ascii="Calibri" w:hAnsi="Calibri" w:cs="Calibri"/>
          <w:sz w:val="22"/>
          <w:szCs w:val="22"/>
        </w:rPr>
        <w:t>Patients have a right to be informed about the role technology plays in their care. The healthcare entity must develop and provide clear, understandable information to patients explaining how AI systems may be used as part of their diagnosis or treatment. Mechanisms for obtaining and documenting patient consent for specific AI-driven procedures must be implemented where appropriate.</w:t>
      </w:r>
    </w:p>
    <w:p w14:paraId="3E465A0A" w14:textId="77777777" w:rsidR="00434FAC" w:rsidRPr="00434FAC" w:rsidRDefault="00000000" w:rsidP="00434FAC">
      <w:r>
        <w:pict w14:anchorId="15151D49">
          <v:rect id="_x0000_i1030" style="width:0;height:1.5pt" o:hralign="center" o:hrstd="t" o:hrnoshade="t" o:hr="t" fillcolor="gray" stroked="f"/>
        </w:pict>
      </w:r>
    </w:p>
    <w:p w14:paraId="2BF8F778" w14:textId="77777777" w:rsidR="00434FAC" w:rsidRPr="00BF475D" w:rsidRDefault="00434FAC" w:rsidP="00CE17AB">
      <w:pPr>
        <w:pStyle w:val="Heading2"/>
        <w:rPr>
          <w:rFonts w:ascii="Fira Sans SemiBold" w:hAnsi="Fira Sans SemiBold"/>
          <w:sz w:val="26"/>
          <w:szCs w:val="26"/>
        </w:rPr>
      </w:pPr>
      <w:bookmarkStart w:id="42" w:name="_Toc208822644"/>
      <w:r w:rsidRPr="00BF475D">
        <w:rPr>
          <w:rFonts w:ascii="Fira Sans SemiBold" w:hAnsi="Fira Sans SemiBold"/>
          <w:sz w:val="26"/>
          <w:szCs w:val="26"/>
        </w:rPr>
        <w:t>7.0 Policy Enforcement</w:t>
      </w:r>
      <w:bookmarkEnd w:id="42"/>
    </w:p>
    <w:p w14:paraId="093A752A" w14:textId="77777777" w:rsidR="00434FAC" w:rsidRPr="00B92B6E" w:rsidRDefault="00434FAC" w:rsidP="00CE17AB">
      <w:pPr>
        <w:pStyle w:val="Heading3"/>
        <w:spacing w:after="0"/>
        <w:rPr>
          <w:rFonts w:ascii="Fira Sans" w:hAnsi="Fira Sans"/>
          <w:sz w:val="24"/>
          <w:szCs w:val="24"/>
        </w:rPr>
      </w:pPr>
      <w:bookmarkStart w:id="43" w:name="_Toc208822645"/>
      <w:r w:rsidRPr="00B92B6E">
        <w:rPr>
          <w:rFonts w:ascii="Fira Sans" w:hAnsi="Fira Sans"/>
          <w:sz w:val="24"/>
          <w:szCs w:val="24"/>
        </w:rPr>
        <w:t>7.1 Responsibility</w:t>
      </w:r>
      <w:bookmarkEnd w:id="43"/>
    </w:p>
    <w:p w14:paraId="22AD7313" w14:textId="77777777" w:rsidR="00434FAC" w:rsidRPr="00BF475D" w:rsidRDefault="00434FAC" w:rsidP="00434FAC">
      <w:pPr>
        <w:rPr>
          <w:rFonts w:ascii="Calibri" w:hAnsi="Calibri" w:cs="Calibri"/>
          <w:sz w:val="22"/>
          <w:szCs w:val="22"/>
        </w:rPr>
      </w:pPr>
      <w:r w:rsidRPr="00BF475D">
        <w:rPr>
          <w:rFonts w:ascii="Calibri" w:hAnsi="Calibri" w:cs="Calibri"/>
          <w:sz w:val="22"/>
          <w:szCs w:val="22"/>
        </w:rPr>
        <w:t>All users are individually responsible for reading, understanding, and adhering to this policy and its sector-specific addendums as they apply to their roles. Department heads, directors, and supervisors are responsible for ensuring their staff receive training on this policy and for enforcing compliance within their respective areas of oversight.</w:t>
      </w:r>
    </w:p>
    <w:p w14:paraId="732456D2" w14:textId="77777777" w:rsidR="00434FAC" w:rsidRPr="00B92B6E" w:rsidRDefault="00434FAC" w:rsidP="00CE17AB">
      <w:pPr>
        <w:pStyle w:val="Heading3"/>
        <w:spacing w:after="0"/>
        <w:rPr>
          <w:rFonts w:ascii="Fira Sans" w:hAnsi="Fira Sans"/>
          <w:sz w:val="24"/>
          <w:szCs w:val="24"/>
        </w:rPr>
      </w:pPr>
      <w:bookmarkStart w:id="44" w:name="_Toc208822646"/>
      <w:r w:rsidRPr="00B92B6E">
        <w:rPr>
          <w:rFonts w:ascii="Fira Sans" w:hAnsi="Fira Sans"/>
          <w:sz w:val="24"/>
          <w:szCs w:val="24"/>
        </w:rPr>
        <w:t>7.2 Auditing and Monitoring</w:t>
      </w:r>
      <w:bookmarkEnd w:id="44"/>
    </w:p>
    <w:p w14:paraId="5423BBF6" w14:textId="1E3E1D8A" w:rsidR="00434FAC" w:rsidRPr="00BF475D" w:rsidRDefault="00434FAC" w:rsidP="00434FAC">
      <w:pPr>
        <w:rPr>
          <w:rFonts w:ascii="Calibri" w:hAnsi="Calibri" w:cs="Calibri"/>
          <w:sz w:val="22"/>
          <w:szCs w:val="22"/>
        </w:rPr>
      </w:pPr>
      <w:r w:rsidRPr="00BF475D">
        <w:rPr>
          <w:rFonts w:ascii="Calibri" w:hAnsi="Calibri" w:cs="Calibri"/>
          <w:sz w:val="22"/>
          <w:szCs w:val="22"/>
        </w:rPr>
        <w:t>The IT Department and the designated AI Governance Committee reserve the right to audit the use of all AI systems to ensure compliance with this policy. These audits may include reviewing system access logs, user activity logs, and data flows, as well as conducting periodic risk assessments of AI technologies.</w:t>
      </w:r>
    </w:p>
    <w:p w14:paraId="79EEA800" w14:textId="77777777" w:rsidR="00434FAC" w:rsidRPr="00B92B6E" w:rsidRDefault="00434FAC" w:rsidP="00CE17AB">
      <w:pPr>
        <w:pStyle w:val="Heading3"/>
        <w:spacing w:after="0"/>
        <w:rPr>
          <w:rFonts w:ascii="Fira Sans" w:hAnsi="Fira Sans"/>
          <w:sz w:val="24"/>
          <w:szCs w:val="24"/>
        </w:rPr>
      </w:pPr>
      <w:bookmarkStart w:id="45" w:name="_Toc208822647"/>
      <w:r w:rsidRPr="00B92B6E">
        <w:rPr>
          <w:rFonts w:ascii="Fira Sans" w:hAnsi="Fira Sans"/>
          <w:sz w:val="24"/>
          <w:szCs w:val="24"/>
        </w:rPr>
        <w:t>7.3 Violations</w:t>
      </w:r>
      <w:bookmarkEnd w:id="45"/>
    </w:p>
    <w:p w14:paraId="53B00DD2" w14:textId="389A2685" w:rsidR="00434FAC" w:rsidRPr="00BF475D" w:rsidRDefault="00434FAC" w:rsidP="00434FAC">
      <w:pPr>
        <w:rPr>
          <w:rFonts w:ascii="Calibri" w:hAnsi="Calibri" w:cs="Calibri"/>
          <w:sz w:val="22"/>
          <w:szCs w:val="22"/>
        </w:rPr>
      </w:pPr>
      <w:r w:rsidRPr="00BF475D">
        <w:rPr>
          <w:rFonts w:ascii="Calibri" w:hAnsi="Calibri" w:cs="Calibri"/>
          <w:sz w:val="22"/>
          <w:szCs w:val="22"/>
        </w:rPr>
        <w:t>Any user found to have violated this policy will be subject to disciplinary action, in accordance with the [TRIBAL ENTITY]'s established personnel policies and procedures. Consequences may range from mandatory retraining and temporary suspension of system access to termination of employment or contract. Violations that involve breaches of law may also result in legal action under the jurisdiction of the Tribal courts.</w:t>
      </w:r>
    </w:p>
    <w:p w14:paraId="240F1B04" w14:textId="77777777" w:rsidR="00434FAC" w:rsidRPr="00BF475D" w:rsidRDefault="00434FAC" w:rsidP="00CE17AB">
      <w:pPr>
        <w:pStyle w:val="Heading2"/>
        <w:rPr>
          <w:rFonts w:ascii="Fira Sans SemiBold" w:hAnsi="Fira Sans SemiBold"/>
          <w:sz w:val="26"/>
          <w:szCs w:val="26"/>
        </w:rPr>
      </w:pPr>
      <w:bookmarkStart w:id="46" w:name="_Toc208822648"/>
      <w:r w:rsidRPr="00BF475D">
        <w:rPr>
          <w:rFonts w:ascii="Fira Sans SemiBold" w:hAnsi="Fira Sans SemiBold"/>
          <w:sz w:val="26"/>
          <w:szCs w:val="26"/>
        </w:rPr>
        <w:lastRenderedPageBreak/>
        <w:t>8.0 Definitions</w:t>
      </w:r>
      <w:bookmarkEnd w:id="46"/>
    </w:p>
    <w:p w14:paraId="728C273E" w14:textId="77777777"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 xml:space="preserve">Algorithmic Bias: Systematic and repeatable errors in an AI </w:t>
      </w:r>
      <w:proofErr w:type="gramStart"/>
      <w:r w:rsidRPr="00BF475D">
        <w:rPr>
          <w:rFonts w:ascii="Calibri" w:hAnsi="Calibri" w:cs="Calibri"/>
          <w:sz w:val="22"/>
          <w:szCs w:val="22"/>
        </w:rPr>
        <w:t>system that</w:t>
      </w:r>
      <w:proofErr w:type="gramEnd"/>
      <w:r w:rsidRPr="00BF475D">
        <w:rPr>
          <w:rFonts w:ascii="Calibri" w:hAnsi="Calibri" w:cs="Calibri"/>
          <w:sz w:val="22"/>
          <w:szCs w:val="22"/>
        </w:rPr>
        <w:t xml:space="preserve"> result in unfair outcomes, such as privileging one arbitrary group of users over others. Bias can emerge from the data used to train the model or the design of the algorithm itself.</w:t>
      </w:r>
    </w:p>
    <w:p w14:paraId="05CA579C" w14:textId="77777777"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 xml:space="preserve">Artificial Intelligence (AI): A branch of computer science that deals with the creation of intelligent agents, which are systems that can reason, learn, and act autonomously. </w:t>
      </w:r>
      <w:proofErr w:type="gramStart"/>
      <w:r w:rsidRPr="00BF475D">
        <w:rPr>
          <w:rFonts w:ascii="Calibri" w:hAnsi="Calibri" w:cs="Calibri"/>
          <w:sz w:val="22"/>
          <w:szCs w:val="22"/>
        </w:rPr>
        <w:t>For the purpose of</w:t>
      </w:r>
      <w:proofErr w:type="gramEnd"/>
      <w:r w:rsidRPr="00BF475D">
        <w:rPr>
          <w:rFonts w:ascii="Calibri" w:hAnsi="Calibri" w:cs="Calibri"/>
          <w:sz w:val="22"/>
          <w:szCs w:val="22"/>
        </w:rPr>
        <w:t xml:space="preserve"> this policy, it covers a wide range of technologies including machine learning, natural language processing, and generative AI.</w:t>
      </w:r>
    </w:p>
    <w:p w14:paraId="3E8FA64E" w14:textId="2A5097E5"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Business Associate Agreement (BAA): A written contract between a HIPAA-covered entity and a HIPAA business associate required by law to protect personal health information (PHI) in accordance with HIPAA guidelines.</w:t>
      </w:r>
    </w:p>
    <w:p w14:paraId="27EBE5BD" w14:textId="599F9D41"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CARE Principles: A framework for Indigenous data governance standing for Collective Benefit, Authority to Control, Responsibility, and Ethics, designed to ensure data is used to advance Indigenous innovation and self-determination.</w:t>
      </w:r>
    </w:p>
    <w:p w14:paraId="1FD9509D" w14:textId="277C36D8"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Generative AI: A class of AI models capable of generating new content, such as text, images, or code, that is novel but resembles the data it was trained on.</w:t>
      </w:r>
    </w:p>
    <w:p w14:paraId="6EF65F6A" w14:textId="2ECD2B49"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Hallucination (AI): A phenomenon where an AI model, particularly a large language model, generates text that is nonsensical, factually incorrect, or disconnected from the provided input, presented as if it were factual.</w:t>
      </w:r>
    </w:p>
    <w:p w14:paraId="7CB7512D" w14:textId="10026C0F"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Indigenous Data: Information, in any format, that is about and from Indigenous peoples, their lands, resources, and cultures. This includes data on individuals as well as collective data about the Nation.</w:t>
      </w:r>
    </w:p>
    <w:p w14:paraId="1FB22C4D" w14:textId="47F83B70"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Indigenous Data Sovereignty: The right of Indigenous peoples to govern the collection, ownership, and application of their own data. It derives from tribes' inherent right to govern their people, lands, and resources.</w:t>
      </w:r>
    </w:p>
    <w:p w14:paraId="115A50AE" w14:textId="261871B3"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Large Language Model (LLM): An advanced type of AI algorithm that uses deep learning techniques and massive datasets to understand, summarize, generate, and predict new content.</w:t>
      </w:r>
    </w:p>
    <w:p w14:paraId="50D5DA5C" w14:textId="12CEA018"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OCAP®: A registered trademark of the First Nations Information Governance Centre (FNIGC), standing for the principles of Ownership, Control, Access, and Possession. It asserts that First Nations have complete control over data collection processes in their communities, and that they own and control how this information is used.</w:t>
      </w:r>
    </w:p>
    <w:p w14:paraId="3726C946" w14:textId="77777777"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Personally Identifiable Information (PII): Any information about an individual that can be used to distinguish or trace an individual's identity, such as their name, social security number, date and place of birth, etc., either alone or when combined with other personal or identifying information.</w:t>
      </w:r>
    </w:p>
    <w:p w14:paraId="660451B4" w14:textId="04CD30D5" w:rsidR="00434FAC" w:rsidRPr="00BF475D" w:rsidRDefault="00434FAC" w:rsidP="00BF475D">
      <w:pPr>
        <w:numPr>
          <w:ilvl w:val="0"/>
          <w:numId w:val="47"/>
        </w:numPr>
        <w:spacing w:after="0"/>
        <w:rPr>
          <w:rFonts w:ascii="Calibri" w:hAnsi="Calibri" w:cs="Calibri"/>
          <w:sz w:val="22"/>
          <w:szCs w:val="22"/>
        </w:rPr>
      </w:pPr>
      <w:r w:rsidRPr="00BF475D">
        <w:rPr>
          <w:rFonts w:ascii="Calibri" w:hAnsi="Calibri" w:cs="Calibri"/>
          <w:sz w:val="22"/>
          <w:szCs w:val="22"/>
        </w:rPr>
        <w:t xml:space="preserve">Protected Health Information (PHI): Any information in a medical record that can be used to identify an individual, and that was created, used, or disclosed </w:t>
      </w:r>
      <w:proofErr w:type="gramStart"/>
      <w:r w:rsidRPr="00BF475D">
        <w:rPr>
          <w:rFonts w:ascii="Calibri" w:hAnsi="Calibri" w:cs="Calibri"/>
          <w:sz w:val="22"/>
          <w:szCs w:val="22"/>
        </w:rPr>
        <w:t>in the course of</w:t>
      </w:r>
      <w:proofErr w:type="gramEnd"/>
      <w:r w:rsidRPr="00BF475D">
        <w:rPr>
          <w:rFonts w:ascii="Calibri" w:hAnsi="Calibri" w:cs="Calibri"/>
          <w:sz w:val="22"/>
          <w:szCs w:val="22"/>
        </w:rPr>
        <w:t xml:space="preserve"> providing a health care service, such as a diagnosis or treatment.</w:t>
      </w:r>
    </w:p>
    <w:p w14:paraId="4EBF46F9" w14:textId="29ACCCE4" w:rsidR="00434FAC" w:rsidRPr="00BF475D" w:rsidRDefault="00434FAC" w:rsidP="00BF475D">
      <w:pPr>
        <w:numPr>
          <w:ilvl w:val="0"/>
          <w:numId w:val="47"/>
        </w:numPr>
        <w:rPr>
          <w:rFonts w:ascii="Calibri" w:hAnsi="Calibri" w:cs="Calibri"/>
          <w:sz w:val="22"/>
          <w:szCs w:val="22"/>
        </w:rPr>
      </w:pPr>
      <w:r w:rsidRPr="00BF475D">
        <w:rPr>
          <w:rFonts w:ascii="Calibri" w:hAnsi="Calibri" w:cs="Calibri"/>
          <w:sz w:val="22"/>
          <w:szCs w:val="22"/>
        </w:rPr>
        <w:lastRenderedPageBreak/>
        <w:t>Shadow AI: The use of AI tools and applications by employees within an organization without the knowledge, approval, or oversight of the IT department. This practice poses significant security and data privacy risks.</w:t>
      </w:r>
    </w:p>
    <w:p w14:paraId="26751B79" w14:textId="77777777" w:rsidR="00075D17" w:rsidRPr="00434FAC" w:rsidRDefault="00075D17" w:rsidP="00434FAC"/>
    <w:sectPr w:rsidR="00075D17" w:rsidRPr="00434FAC" w:rsidSect="00683455">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1AF64" w14:textId="77777777" w:rsidR="00223D89" w:rsidRDefault="00223D89" w:rsidP="00683455">
      <w:pPr>
        <w:spacing w:after="0" w:line="240" w:lineRule="auto"/>
      </w:pPr>
      <w:r>
        <w:separator/>
      </w:r>
    </w:p>
  </w:endnote>
  <w:endnote w:type="continuationSeparator" w:id="0">
    <w:p w14:paraId="0ED976F3" w14:textId="77777777" w:rsidR="00223D89" w:rsidRDefault="00223D89" w:rsidP="00683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ira Sans Black">
    <w:charset w:val="00"/>
    <w:family w:val="swiss"/>
    <w:pitch w:val="variable"/>
    <w:sig w:usb0="600002FF"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ira Sans SemiBold">
    <w:charset w:val="00"/>
    <w:family w:val="swiss"/>
    <w:pitch w:val="variable"/>
    <w:sig w:usb0="600002FF" w:usb1="00000001" w:usb2="00000000" w:usb3="00000000" w:csb0="000001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1"/>
      <w:gridCol w:w="1169"/>
    </w:tblGrid>
    <w:tr w:rsidR="00683455" w:rsidRPr="000E4B25" w14:paraId="45868DB0" w14:textId="77777777" w:rsidTr="006D23C0">
      <w:trPr>
        <w:trHeight w:val="1321"/>
      </w:trPr>
      <w:tc>
        <w:tcPr>
          <w:tcW w:w="8911" w:type="dxa"/>
          <w:vAlign w:val="bottom"/>
        </w:tcPr>
        <w:p w14:paraId="50D63F23" w14:textId="77777777" w:rsidR="00683455" w:rsidRPr="000E4B25" w:rsidRDefault="00683455" w:rsidP="00683455">
          <w:pPr>
            <w:pStyle w:val="Footer"/>
            <w:spacing w:after="240"/>
            <w:rPr>
              <w:i/>
              <w:sz w:val="14"/>
            </w:rPr>
          </w:pPr>
          <w:r w:rsidRPr="000E4B25">
            <w:rPr>
              <w:i/>
              <w:sz w:val="14"/>
            </w:rPr>
            <w:t>CONFIDENTIALITY: The contents of this document are private and for internal use only. This document shall not be disclosed to any person(s) outside of Synergy Information Solutions, Inc. (“Synergy”) or the Client named above.</w:t>
          </w:r>
          <w:r>
            <w:rPr>
              <w:i/>
              <w:sz w:val="14"/>
            </w:rPr>
            <w:t xml:space="preserve"> </w:t>
          </w:r>
          <w:r w:rsidRPr="000E4B25">
            <w:rPr>
              <w:i/>
              <w:sz w:val="14"/>
            </w:rPr>
            <w:t>Synergy reserves all right</w:t>
          </w:r>
          <w:r>
            <w:rPr>
              <w:i/>
              <w:sz w:val="14"/>
            </w:rPr>
            <w:t>.</w:t>
          </w:r>
        </w:p>
      </w:tc>
      <w:tc>
        <w:tcPr>
          <w:tcW w:w="1169" w:type="dxa"/>
          <w:vAlign w:val="bottom"/>
        </w:tcPr>
        <w:p w14:paraId="4640F868" w14:textId="77777777" w:rsidR="00683455" w:rsidRPr="000E4B25" w:rsidRDefault="00000000" w:rsidP="006D23C0">
          <w:pPr>
            <w:pStyle w:val="Footer"/>
            <w:ind w:left="-90" w:right="-297" w:firstLine="90"/>
            <w:rPr>
              <w:sz w:val="18"/>
            </w:rPr>
          </w:pPr>
          <w:sdt>
            <w:sdtPr>
              <w:rPr>
                <w:i/>
                <w:sz w:val="18"/>
              </w:rPr>
              <w:id w:val="860082579"/>
              <w:docPartObj>
                <w:docPartGallery w:val="Page Numbers (Top of Page)"/>
                <w:docPartUnique/>
              </w:docPartObj>
            </w:sdtPr>
            <w:sdtEndPr>
              <w:rPr>
                <w:i w:val="0"/>
              </w:rPr>
            </w:sdtEndPr>
            <w:sdtContent>
              <w:r w:rsidR="00683455">
                <w:rPr>
                  <w:i/>
                  <w:sz w:val="18"/>
                </w:rPr>
                <w:t xml:space="preserve"> </w:t>
              </w:r>
              <w:r w:rsidR="00683455" w:rsidRPr="000E4B25">
                <w:rPr>
                  <w:sz w:val="18"/>
                </w:rPr>
                <w:t xml:space="preserve">Page </w:t>
              </w:r>
              <w:r w:rsidR="00683455" w:rsidRPr="000E4B25">
                <w:rPr>
                  <w:b/>
                  <w:bCs/>
                  <w:sz w:val="18"/>
                </w:rPr>
                <w:fldChar w:fldCharType="begin"/>
              </w:r>
              <w:r w:rsidR="00683455" w:rsidRPr="000E4B25">
                <w:rPr>
                  <w:b/>
                  <w:bCs/>
                  <w:sz w:val="18"/>
                </w:rPr>
                <w:instrText xml:space="preserve"> PAGE </w:instrText>
              </w:r>
              <w:r w:rsidR="00683455" w:rsidRPr="000E4B25">
                <w:rPr>
                  <w:b/>
                  <w:bCs/>
                  <w:sz w:val="18"/>
                </w:rPr>
                <w:fldChar w:fldCharType="separate"/>
              </w:r>
              <w:r w:rsidR="00683455">
                <w:rPr>
                  <w:b/>
                  <w:bCs/>
                  <w:sz w:val="18"/>
                </w:rPr>
                <w:t>2</w:t>
              </w:r>
              <w:r w:rsidR="00683455" w:rsidRPr="000E4B25">
                <w:rPr>
                  <w:sz w:val="18"/>
                </w:rPr>
                <w:fldChar w:fldCharType="end"/>
              </w:r>
              <w:r w:rsidR="00683455" w:rsidRPr="000E4B25">
                <w:rPr>
                  <w:sz w:val="18"/>
                </w:rPr>
                <w:t xml:space="preserve"> of </w:t>
              </w:r>
              <w:r w:rsidR="00683455" w:rsidRPr="000E4B25">
                <w:rPr>
                  <w:b/>
                  <w:bCs/>
                  <w:sz w:val="18"/>
                </w:rPr>
                <w:fldChar w:fldCharType="begin"/>
              </w:r>
              <w:r w:rsidR="00683455" w:rsidRPr="000E4B25">
                <w:rPr>
                  <w:b/>
                  <w:bCs/>
                  <w:sz w:val="18"/>
                </w:rPr>
                <w:instrText xml:space="preserve"> NUMPAGES  </w:instrText>
              </w:r>
              <w:r w:rsidR="00683455" w:rsidRPr="000E4B25">
                <w:rPr>
                  <w:b/>
                  <w:bCs/>
                  <w:sz w:val="18"/>
                </w:rPr>
                <w:fldChar w:fldCharType="separate"/>
              </w:r>
              <w:r w:rsidR="00683455">
                <w:rPr>
                  <w:b/>
                  <w:bCs/>
                  <w:sz w:val="18"/>
                </w:rPr>
                <w:t>4</w:t>
              </w:r>
              <w:r w:rsidR="00683455" w:rsidRPr="000E4B25">
                <w:rPr>
                  <w:sz w:val="18"/>
                </w:rPr>
                <w:fldChar w:fldCharType="end"/>
              </w:r>
            </w:sdtContent>
          </w:sdt>
        </w:p>
      </w:tc>
    </w:tr>
  </w:tbl>
  <w:p w14:paraId="35F69C48" w14:textId="77777777" w:rsidR="00683455" w:rsidRDefault="00683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8D98" w14:textId="77777777" w:rsidR="00683455" w:rsidRPr="00683455" w:rsidRDefault="00683455" w:rsidP="00683455">
    <w:pPr>
      <w:pStyle w:val="Footer"/>
      <w:rPr>
        <w:rFonts w:ascii="Calibri" w:hAnsi="Calibri" w:cs="Calibri"/>
        <w:sz w:val="22"/>
        <w:szCs w:val="22"/>
      </w:rPr>
    </w:pPr>
    <w:r w:rsidRPr="00683455">
      <w:rPr>
        <w:rFonts w:ascii="Calibri" w:hAnsi="Calibri" w:cs="Calibri"/>
        <w:sz w:val="22"/>
        <w:szCs w:val="22"/>
        <w:lang w:val="fr-FR"/>
      </w:rPr>
      <w:t xml:space="preserve">Synergy Information Solutions 44650 Village Ct. </w:t>
    </w:r>
    <w:r w:rsidRPr="00683455">
      <w:rPr>
        <w:rFonts w:ascii="Calibri" w:hAnsi="Calibri" w:cs="Calibri"/>
        <w:sz w:val="22"/>
        <w:szCs w:val="22"/>
      </w:rPr>
      <w:t>#200, Palm Desert, California – Ph-760.601.5244</w:t>
    </w:r>
  </w:p>
  <w:p w14:paraId="2FA7F0D6" w14:textId="77777777" w:rsidR="00683455" w:rsidRPr="00683455" w:rsidRDefault="00683455" w:rsidP="00683455">
    <w:pPr>
      <w:pStyle w:val="Footer"/>
      <w:rPr>
        <w:rFonts w:ascii="Calibri" w:hAnsi="Calibri" w:cs="Calibri"/>
      </w:rPr>
    </w:pPr>
  </w:p>
  <w:p w14:paraId="58CF1BCE" w14:textId="77777777" w:rsidR="00683455" w:rsidRPr="00683455" w:rsidRDefault="00683455" w:rsidP="00683455">
    <w:pPr>
      <w:pStyle w:val="Footer"/>
      <w:rPr>
        <w:rFonts w:ascii="Calibri" w:hAnsi="Calibri" w:cs="Calibri"/>
        <w:sz w:val="14"/>
        <w:szCs w:val="16"/>
      </w:rPr>
    </w:pPr>
    <w:r w:rsidRPr="00683455">
      <w:rPr>
        <w:rFonts w:ascii="Calibri" w:hAnsi="Calibri" w:cs="Calibri"/>
        <w:sz w:val="14"/>
        <w:szCs w:val="16"/>
      </w:rPr>
      <w:t>CONFIDENTIALITY: The contents of this document are private and for internal use only. This document shall not be disclosed to any person(s) outside of Synergy Information Solutions, Inc. (“Synergy”) or the Client named above. Synergy reserves all rights.</w:t>
    </w:r>
  </w:p>
  <w:p w14:paraId="437E563F" w14:textId="77777777" w:rsidR="00683455" w:rsidRDefault="00683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CD806" w14:textId="77777777" w:rsidR="00223D89" w:rsidRDefault="00223D89" w:rsidP="00683455">
      <w:pPr>
        <w:spacing w:after="0" w:line="240" w:lineRule="auto"/>
      </w:pPr>
      <w:r>
        <w:separator/>
      </w:r>
    </w:p>
  </w:footnote>
  <w:footnote w:type="continuationSeparator" w:id="0">
    <w:p w14:paraId="09C03A7E" w14:textId="77777777" w:rsidR="00223D89" w:rsidRDefault="00223D89" w:rsidP="00683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1738" w14:textId="1D0C6C9B" w:rsidR="00683455" w:rsidRPr="000E1C96" w:rsidRDefault="00683455" w:rsidP="00683455">
    <w:pPr>
      <w:pStyle w:val="Header"/>
      <w:pBdr>
        <w:bottom w:val="double" w:sz="4" w:space="1" w:color="A02B93" w:themeColor="accent5"/>
      </w:pBdr>
      <w:jc w:val="center"/>
      <w:rPr>
        <w:rFonts w:cs="Calibri"/>
      </w:rPr>
    </w:pPr>
    <w:r>
      <w:rPr>
        <w:rFonts w:cs="Calibri"/>
      </w:rPr>
      <w:t>Tribal AI Policy</w:t>
    </w:r>
  </w:p>
  <w:p w14:paraId="1A369A6F" w14:textId="77777777" w:rsidR="00683455" w:rsidRDefault="00683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30EF1" w14:textId="11A32A76" w:rsidR="00683455" w:rsidRDefault="00683455">
    <w:pPr>
      <w:pStyle w:val="Header"/>
    </w:pPr>
    <w:r>
      <w:rPr>
        <w:noProof/>
      </w:rPr>
      <w:drawing>
        <wp:inline distT="0" distB="0" distL="0" distR="0" wp14:anchorId="3BA0B7AD" wp14:editId="1FB33447">
          <wp:extent cx="2395728" cy="704088"/>
          <wp:effectExtent l="0" t="0" r="0" b="0"/>
          <wp:docPr id="833864480" name="Picture 83386448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5728" cy="704088"/>
                  </a:xfrm>
                  <a:prstGeom prst="rect">
                    <a:avLst/>
                  </a:prstGeom>
                </pic:spPr>
              </pic:pic>
            </a:graphicData>
          </a:graphic>
        </wp:inline>
      </w:drawing>
    </w:r>
  </w:p>
  <w:p w14:paraId="0E5A0C96" w14:textId="77777777" w:rsidR="00683455" w:rsidRDefault="00683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77CB"/>
    <w:multiLevelType w:val="multilevel"/>
    <w:tmpl w:val="F5B23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A033C"/>
    <w:multiLevelType w:val="multilevel"/>
    <w:tmpl w:val="7B5C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F5E0C"/>
    <w:multiLevelType w:val="multilevel"/>
    <w:tmpl w:val="698E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00B18"/>
    <w:multiLevelType w:val="multilevel"/>
    <w:tmpl w:val="88A8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D177E"/>
    <w:multiLevelType w:val="multilevel"/>
    <w:tmpl w:val="E1540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D60F9"/>
    <w:multiLevelType w:val="multilevel"/>
    <w:tmpl w:val="F886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543DBA"/>
    <w:multiLevelType w:val="multilevel"/>
    <w:tmpl w:val="AA46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A43B6"/>
    <w:multiLevelType w:val="multilevel"/>
    <w:tmpl w:val="DBD0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8123C"/>
    <w:multiLevelType w:val="multilevel"/>
    <w:tmpl w:val="6ADAAC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653FDC"/>
    <w:multiLevelType w:val="multilevel"/>
    <w:tmpl w:val="1EE0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5857B1"/>
    <w:multiLevelType w:val="multilevel"/>
    <w:tmpl w:val="B5E8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87535E"/>
    <w:multiLevelType w:val="multilevel"/>
    <w:tmpl w:val="10C2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68155D"/>
    <w:multiLevelType w:val="multilevel"/>
    <w:tmpl w:val="8610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780008"/>
    <w:multiLevelType w:val="multilevel"/>
    <w:tmpl w:val="C510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B35A71"/>
    <w:multiLevelType w:val="multilevel"/>
    <w:tmpl w:val="EB3A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944D83"/>
    <w:multiLevelType w:val="multilevel"/>
    <w:tmpl w:val="E060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F0248E"/>
    <w:multiLevelType w:val="multilevel"/>
    <w:tmpl w:val="3F6A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E46C06"/>
    <w:multiLevelType w:val="multilevel"/>
    <w:tmpl w:val="CC68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D85369"/>
    <w:multiLevelType w:val="multilevel"/>
    <w:tmpl w:val="61D0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4513F0"/>
    <w:multiLevelType w:val="multilevel"/>
    <w:tmpl w:val="41E6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175360"/>
    <w:multiLevelType w:val="multilevel"/>
    <w:tmpl w:val="C614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0B3A48"/>
    <w:multiLevelType w:val="multilevel"/>
    <w:tmpl w:val="481A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923586"/>
    <w:multiLevelType w:val="multilevel"/>
    <w:tmpl w:val="1A4C4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80428"/>
    <w:multiLevelType w:val="multilevel"/>
    <w:tmpl w:val="6990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0A2871"/>
    <w:multiLevelType w:val="multilevel"/>
    <w:tmpl w:val="779C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3823FB"/>
    <w:multiLevelType w:val="multilevel"/>
    <w:tmpl w:val="1AB0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CE7E1C"/>
    <w:multiLevelType w:val="multilevel"/>
    <w:tmpl w:val="AE12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F95C70"/>
    <w:multiLevelType w:val="multilevel"/>
    <w:tmpl w:val="F6A4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E95867"/>
    <w:multiLevelType w:val="multilevel"/>
    <w:tmpl w:val="5666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103EE5"/>
    <w:multiLevelType w:val="multilevel"/>
    <w:tmpl w:val="3FF8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9531C2"/>
    <w:multiLevelType w:val="multilevel"/>
    <w:tmpl w:val="33EA0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19025F"/>
    <w:multiLevelType w:val="multilevel"/>
    <w:tmpl w:val="5512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F1420E"/>
    <w:multiLevelType w:val="multilevel"/>
    <w:tmpl w:val="C364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B5374"/>
    <w:multiLevelType w:val="multilevel"/>
    <w:tmpl w:val="8A264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775805"/>
    <w:multiLevelType w:val="multilevel"/>
    <w:tmpl w:val="1EDE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0E68B7"/>
    <w:multiLevelType w:val="multilevel"/>
    <w:tmpl w:val="F382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B664FF"/>
    <w:multiLevelType w:val="multilevel"/>
    <w:tmpl w:val="A09C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97241B"/>
    <w:multiLevelType w:val="multilevel"/>
    <w:tmpl w:val="8E6A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5F20A3"/>
    <w:multiLevelType w:val="multilevel"/>
    <w:tmpl w:val="99F8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447770"/>
    <w:multiLevelType w:val="multilevel"/>
    <w:tmpl w:val="B74A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3D282B"/>
    <w:multiLevelType w:val="multilevel"/>
    <w:tmpl w:val="4E7E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8719F6"/>
    <w:multiLevelType w:val="multilevel"/>
    <w:tmpl w:val="41A6F7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A94B07"/>
    <w:multiLevelType w:val="multilevel"/>
    <w:tmpl w:val="0E4A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3A08D1"/>
    <w:multiLevelType w:val="multilevel"/>
    <w:tmpl w:val="DF0E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6A507B"/>
    <w:multiLevelType w:val="multilevel"/>
    <w:tmpl w:val="9D34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3736D"/>
    <w:multiLevelType w:val="multilevel"/>
    <w:tmpl w:val="F374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F31F5"/>
    <w:multiLevelType w:val="multilevel"/>
    <w:tmpl w:val="7EA6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869751">
    <w:abstractNumId w:val="45"/>
  </w:num>
  <w:num w:numId="2" w16cid:durableId="1066799123">
    <w:abstractNumId w:val="4"/>
  </w:num>
  <w:num w:numId="3" w16cid:durableId="629045602">
    <w:abstractNumId w:val="30"/>
  </w:num>
  <w:num w:numId="4" w16cid:durableId="414011060">
    <w:abstractNumId w:val="40"/>
  </w:num>
  <w:num w:numId="5" w16cid:durableId="1021275929">
    <w:abstractNumId w:val="3"/>
  </w:num>
  <w:num w:numId="6" w16cid:durableId="444689699">
    <w:abstractNumId w:val="17"/>
  </w:num>
  <w:num w:numId="7" w16cid:durableId="1598057739">
    <w:abstractNumId w:val="20"/>
  </w:num>
  <w:num w:numId="8" w16cid:durableId="1202402161">
    <w:abstractNumId w:val="11"/>
  </w:num>
  <w:num w:numId="9" w16cid:durableId="1183740460">
    <w:abstractNumId w:val="12"/>
  </w:num>
  <w:num w:numId="10" w16cid:durableId="826018957">
    <w:abstractNumId w:val="34"/>
  </w:num>
  <w:num w:numId="11" w16cid:durableId="1032996034">
    <w:abstractNumId w:val="18"/>
  </w:num>
  <w:num w:numId="12" w16cid:durableId="1071855738">
    <w:abstractNumId w:val="0"/>
  </w:num>
  <w:num w:numId="13" w16cid:durableId="62071321">
    <w:abstractNumId w:val="37"/>
  </w:num>
  <w:num w:numId="14" w16cid:durableId="1871987059">
    <w:abstractNumId w:val="32"/>
  </w:num>
  <w:num w:numId="15" w16cid:durableId="289745442">
    <w:abstractNumId w:val="13"/>
  </w:num>
  <w:num w:numId="16" w16cid:durableId="1738044663">
    <w:abstractNumId w:val="15"/>
  </w:num>
  <w:num w:numId="17" w16cid:durableId="148331475">
    <w:abstractNumId w:val="5"/>
  </w:num>
  <w:num w:numId="18" w16cid:durableId="1812282411">
    <w:abstractNumId w:val="41"/>
  </w:num>
  <w:num w:numId="19" w16cid:durableId="497233787">
    <w:abstractNumId w:val="43"/>
  </w:num>
  <w:num w:numId="20" w16cid:durableId="1980183757">
    <w:abstractNumId w:val="23"/>
  </w:num>
  <w:num w:numId="21" w16cid:durableId="1481194180">
    <w:abstractNumId w:val="39"/>
  </w:num>
  <w:num w:numId="22" w16cid:durableId="1992757224">
    <w:abstractNumId w:val="21"/>
  </w:num>
  <w:num w:numId="23" w16cid:durableId="814840111">
    <w:abstractNumId w:val="38"/>
  </w:num>
  <w:num w:numId="24" w16cid:durableId="831869702">
    <w:abstractNumId w:val="28"/>
  </w:num>
  <w:num w:numId="25" w16cid:durableId="637951283">
    <w:abstractNumId w:val="29"/>
  </w:num>
  <w:num w:numId="26" w16cid:durableId="1011490157">
    <w:abstractNumId w:val="25"/>
  </w:num>
  <w:num w:numId="27" w16cid:durableId="1509905720">
    <w:abstractNumId w:val="6"/>
  </w:num>
  <w:num w:numId="28" w16cid:durableId="1927881567">
    <w:abstractNumId w:val="42"/>
  </w:num>
  <w:num w:numId="29" w16cid:durableId="735932706">
    <w:abstractNumId w:val="24"/>
  </w:num>
  <w:num w:numId="30" w16cid:durableId="1880626627">
    <w:abstractNumId w:val="35"/>
  </w:num>
  <w:num w:numId="31" w16cid:durableId="1573271914">
    <w:abstractNumId w:val="2"/>
  </w:num>
  <w:num w:numId="32" w16cid:durableId="720442623">
    <w:abstractNumId w:val="27"/>
  </w:num>
  <w:num w:numId="33" w16cid:durableId="1089543036">
    <w:abstractNumId w:val="22"/>
  </w:num>
  <w:num w:numId="34" w16cid:durableId="1487621934">
    <w:abstractNumId w:val="7"/>
  </w:num>
  <w:num w:numId="35" w16cid:durableId="756513382">
    <w:abstractNumId w:val="33"/>
  </w:num>
  <w:num w:numId="36" w16cid:durableId="1769543050">
    <w:abstractNumId w:val="36"/>
  </w:num>
  <w:num w:numId="37" w16cid:durableId="36929290">
    <w:abstractNumId w:val="1"/>
  </w:num>
  <w:num w:numId="38" w16cid:durableId="1474373991">
    <w:abstractNumId w:val="44"/>
  </w:num>
  <w:num w:numId="39" w16cid:durableId="2118786555">
    <w:abstractNumId w:val="9"/>
  </w:num>
  <w:num w:numId="40" w16cid:durableId="1130512065">
    <w:abstractNumId w:val="31"/>
  </w:num>
  <w:num w:numId="41" w16cid:durableId="556939020">
    <w:abstractNumId w:val="14"/>
  </w:num>
  <w:num w:numId="42" w16cid:durableId="956720378">
    <w:abstractNumId w:val="46"/>
  </w:num>
  <w:num w:numId="43" w16cid:durableId="1920480186">
    <w:abstractNumId w:val="8"/>
  </w:num>
  <w:num w:numId="44" w16cid:durableId="1426609065">
    <w:abstractNumId w:val="19"/>
  </w:num>
  <w:num w:numId="45" w16cid:durableId="903032288">
    <w:abstractNumId w:val="26"/>
  </w:num>
  <w:num w:numId="46" w16cid:durableId="959531970">
    <w:abstractNumId w:val="16"/>
  </w:num>
  <w:num w:numId="47" w16cid:durableId="10007380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BB"/>
    <w:rsid w:val="000279A8"/>
    <w:rsid w:val="000563FC"/>
    <w:rsid w:val="00075D17"/>
    <w:rsid w:val="000A4937"/>
    <w:rsid w:val="000E0FA9"/>
    <w:rsid w:val="00121042"/>
    <w:rsid w:val="001550CD"/>
    <w:rsid w:val="001F7444"/>
    <w:rsid w:val="00223D89"/>
    <w:rsid w:val="00264D6B"/>
    <w:rsid w:val="00277CEB"/>
    <w:rsid w:val="00293017"/>
    <w:rsid w:val="002B4CBB"/>
    <w:rsid w:val="00381D12"/>
    <w:rsid w:val="00390D1D"/>
    <w:rsid w:val="003C795A"/>
    <w:rsid w:val="003D1DFF"/>
    <w:rsid w:val="00434FAC"/>
    <w:rsid w:val="00437EB5"/>
    <w:rsid w:val="00451639"/>
    <w:rsid w:val="004539A2"/>
    <w:rsid w:val="004A188A"/>
    <w:rsid w:val="004F45C9"/>
    <w:rsid w:val="00507CEE"/>
    <w:rsid w:val="00560382"/>
    <w:rsid w:val="005670D9"/>
    <w:rsid w:val="00581C23"/>
    <w:rsid w:val="005A1C36"/>
    <w:rsid w:val="005E5438"/>
    <w:rsid w:val="005F31A6"/>
    <w:rsid w:val="00603AAC"/>
    <w:rsid w:val="00604FBC"/>
    <w:rsid w:val="00612DCE"/>
    <w:rsid w:val="00616489"/>
    <w:rsid w:val="00634890"/>
    <w:rsid w:val="00664B6C"/>
    <w:rsid w:val="00683455"/>
    <w:rsid w:val="006A2AA1"/>
    <w:rsid w:val="006A339E"/>
    <w:rsid w:val="006D23C0"/>
    <w:rsid w:val="006D731B"/>
    <w:rsid w:val="00711E8D"/>
    <w:rsid w:val="00767FEB"/>
    <w:rsid w:val="007C3997"/>
    <w:rsid w:val="007D4A0F"/>
    <w:rsid w:val="007E645F"/>
    <w:rsid w:val="007F067C"/>
    <w:rsid w:val="008252F8"/>
    <w:rsid w:val="0083032F"/>
    <w:rsid w:val="008C5B72"/>
    <w:rsid w:val="0090152E"/>
    <w:rsid w:val="0094713B"/>
    <w:rsid w:val="009A6FBB"/>
    <w:rsid w:val="009B1DEB"/>
    <w:rsid w:val="009D303C"/>
    <w:rsid w:val="00AA2F88"/>
    <w:rsid w:val="00AD0EE7"/>
    <w:rsid w:val="00B264F6"/>
    <w:rsid w:val="00B55C1F"/>
    <w:rsid w:val="00B92B6E"/>
    <w:rsid w:val="00BC5730"/>
    <w:rsid w:val="00BD0FED"/>
    <w:rsid w:val="00BF2F8E"/>
    <w:rsid w:val="00BF475D"/>
    <w:rsid w:val="00C92C8D"/>
    <w:rsid w:val="00CE17AB"/>
    <w:rsid w:val="00D846DF"/>
    <w:rsid w:val="00E3069D"/>
    <w:rsid w:val="00EC1F9E"/>
    <w:rsid w:val="00F83423"/>
    <w:rsid w:val="00F8680B"/>
    <w:rsid w:val="00FD2510"/>
    <w:rsid w:val="00FE0D7A"/>
    <w:rsid w:val="00FE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11D6B"/>
  <w15:chartTrackingRefBased/>
  <w15:docId w15:val="{3401362E-30BE-41AF-ACC6-B0139346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6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6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FBB"/>
    <w:rPr>
      <w:rFonts w:eastAsiaTheme="majorEastAsia" w:cstheme="majorBidi"/>
      <w:color w:val="272727" w:themeColor="text1" w:themeTint="D8"/>
    </w:rPr>
  </w:style>
  <w:style w:type="paragraph" w:styleId="Title">
    <w:name w:val="Title"/>
    <w:basedOn w:val="Normal"/>
    <w:next w:val="Normal"/>
    <w:link w:val="TitleChar"/>
    <w:uiPriority w:val="10"/>
    <w:qFormat/>
    <w:rsid w:val="009A6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FBB"/>
    <w:pPr>
      <w:spacing w:before="160"/>
      <w:jc w:val="center"/>
    </w:pPr>
    <w:rPr>
      <w:i/>
      <w:iCs/>
      <w:color w:val="404040" w:themeColor="text1" w:themeTint="BF"/>
    </w:rPr>
  </w:style>
  <w:style w:type="character" w:customStyle="1" w:styleId="QuoteChar">
    <w:name w:val="Quote Char"/>
    <w:basedOn w:val="DefaultParagraphFont"/>
    <w:link w:val="Quote"/>
    <w:uiPriority w:val="29"/>
    <w:rsid w:val="009A6FBB"/>
    <w:rPr>
      <w:i/>
      <w:iCs/>
      <w:color w:val="404040" w:themeColor="text1" w:themeTint="BF"/>
    </w:rPr>
  </w:style>
  <w:style w:type="paragraph" w:styleId="ListParagraph">
    <w:name w:val="List Paragraph"/>
    <w:basedOn w:val="Normal"/>
    <w:uiPriority w:val="34"/>
    <w:qFormat/>
    <w:rsid w:val="009A6FBB"/>
    <w:pPr>
      <w:ind w:left="720"/>
      <w:contextualSpacing/>
    </w:pPr>
  </w:style>
  <w:style w:type="character" w:styleId="IntenseEmphasis">
    <w:name w:val="Intense Emphasis"/>
    <w:basedOn w:val="DefaultParagraphFont"/>
    <w:uiPriority w:val="21"/>
    <w:qFormat/>
    <w:rsid w:val="009A6FBB"/>
    <w:rPr>
      <w:i/>
      <w:iCs/>
      <w:color w:val="0F4761" w:themeColor="accent1" w:themeShade="BF"/>
    </w:rPr>
  </w:style>
  <w:style w:type="paragraph" w:styleId="IntenseQuote">
    <w:name w:val="Intense Quote"/>
    <w:basedOn w:val="Normal"/>
    <w:next w:val="Normal"/>
    <w:link w:val="IntenseQuoteChar"/>
    <w:uiPriority w:val="30"/>
    <w:qFormat/>
    <w:rsid w:val="009A6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FBB"/>
    <w:rPr>
      <w:i/>
      <w:iCs/>
      <w:color w:val="0F4761" w:themeColor="accent1" w:themeShade="BF"/>
    </w:rPr>
  </w:style>
  <w:style w:type="character" w:styleId="IntenseReference">
    <w:name w:val="Intense Reference"/>
    <w:basedOn w:val="DefaultParagraphFont"/>
    <w:uiPriority w:val="32"/>
    <w:qFormat/>
    <w:rsid w:val="009A6FBB"/>
    <w:rPr>
      <w:b/>
      <w:bCs/>
      <w:smallCaps/>
      <w:color w:val="0F4761" w:themeColor="accent1" w:themeShade="BF"/>
      <w:spacing w:val="5"/>
    </w:rPr>
  </w:style>
  <w:style w:type="paragraph" w:styleId="Header">
    <w:name w:val="header"/>
    <w:basedOn w:val="Normal"/>
    <w:link w:val="HeaderChar"/>
    <w:uiPriority w:val="99"/>
    <w:unhideWhenUsed/>
    <w:rsid w:val="0068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455"/>
  </w:style>
  <w:style w:type="paragraph" w:styleId="Footer">
    <w:name w:val="footer"/>
    <w:basedOn w:val="Normal"/>
    <w:link w:val="FooterChar"/>
    <w:uiPriority w:val="99"/>
    <w:unhideWhenUsed/>
    <w:rsid w:val="0068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455"/>
  </w:style>
  <w:style w:type="character" w:styleId="SubtleEmphasis">
    <w:name w:val="Subtle Emphasis"/>
    <w:basedOn w:val="DefaultParagraphFont"/>
    <w:uiPriority w:val="19"/>
    <w:qFormat/>
    <w:rsid w:val="00683455"/>
    <w:rPr>
      <w:i/>
      <w:iCs/>
      <w:color w:val="A02B93" w:themeColor="accent5"/>
      <w:sz w:val="24"/>
    </w:rPr>
  </w:style>
  <w:style w:type="table" w:styleId="TableGrid">
    <w:name w:val="Table Grid"/>
    <w:basedOn w:val="TableNormal"/>
    <w:uiPriority w:val="39"/>
    <w:rsid w:val="00683455"/>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3455"/>
    <w:rPr>
      <w:color w:val="467886" w:themeColor="hyperlink"/>
      <w:u w:val="single"/>
    </w:rPr>
  </w:style>
  <w:style w:type="paragraph" w:styleId="TOCHeading">
    <w:name w:val="TOC Heading"/>
    <w:basedOn w:val="Heading1"/>
    <w:next w:val="Normal"/>
    <w:uiPriority w:val="39"/>
    <w:unhideWhenUsed/>
    <w:qFormat/>
    <w:rsid w:val="00683455"/>
    <w:pPr>
      <w:spacing w:before="240" w:after="0" w:line="259" w:lineRule="auto"/>
      <w:outlineLvl w:val="9"/>
    </w:pPr>
    <w:rPr>
      <w:rFonts w:ascii="Fira Sans Black" w:hAnsi="Fira Sans Black"/>
      <w:color w:val="0E2841" w:themeColor="text2"/>
      <w:kern w:val="0"/>
      <w:sz w:val="36"/>
      <w:szCs w:val="32"/>
      <w14:ligatures w14:val="none"/>
    </w:rPr>
  </w:style>
  <w:style w:type="paragraph" w:styleId="TOC2">
    <w:name w:val="toc 2"/>
    <w:basedOn w:val="Normal"/>
    <w:next w:val="Normal"/>
    <w:autoRedefine/>
    <w:uiPriority w:val="39"/>
    <w:unhideWhenUsed/>
    <w:rsid w:val="00683455"/>
    <w:pPr>
      <w:tabs>
        <w:tab w:val="right" w:leader="dot" w:pos="10790"/>
      </w:tabs>
      <w:spacing w:after="50" w:line="240" w:lineRule="auto"/>
      <w:ind w:left="216"/>
    </w:pPr>
    <w:rPr>
      <w:rFonts w:eastAsia="MS Mincho"/>
      <w:kern w:val="0"/>
      <w:sz w:val="22"/>
      <w:szCs w:val="22"/>
      <w14:ligatures w14:val="none"/>
    </w:rPr>
  </w:style>
  <w:style w:type="paragraph" w:styleId="TOC1">
    <w:name w:val="toc 1"/>
    <w:basedOn w:val="Normal"/>
    <w:next w:val="Normal"/>
    <w:autoRedefine/>
    <w:uiPriority w:val="39"/>
    <w:unhideWhenUsed/>
    <w:rsid w:val="00683455"/>
    <w:pPr>
      <w:tabs>
        <w:tab w:val="right" w:leader="dot" w:pos="10790"/>
      </w:tabs>
      <w:spacing w:after="50" w:line="240" w:lineRule="auto"/>
    </w:pPr>
    <w:rPr>
      <w:rFonts w:eastAsia="MS Mincho"/>
      <w:kern w:val="0"/>
      <w:sz w:val="22"/>
      <w:szCs w:val="22"/>
      <w14:ligatures w14:val="none"/>
    </w:rPr>
  </w:style>
  <w:style w:type="paragraph" w:styleId="NoSpacing">
    <w:name w:val="No Spacing"/>
    <w:basedOn w:val="Normal"/>
    <w:uiPriority w:val="1"/>
    <w:qFormat/>
    <w:rsid w:val="00683455"/>
    <w:pPr>
      <w:spacing w:after="0" w:line="240" w:lineRule="auto"/>
    </w:pPr>
    <w:rPr>
      <w:rFonts w:eastAsia="MS Mincho"/>
      <w:kern w:val="0"/>
      <w:sz w:val="22"/>
      <w:szCs w:val="22"/>
      <w14:ligatures w14:val="none"/>
    </w:rPr>
  </w:style>
  <w:style w:type="table" w:styleId="GridTable4-Accent3">
    <w:name w:val="Grid Table 4 Accent 3"/>
    <w:aliases w:val="WithHeader"/>
    <w:basedOn w:val="TableNormal"/>
    <w:uiPriority w:val="49"/>
    <w:rsid w:val="00683455"/>
    <w:pPr>
      <w:spacing w:after="0" w:line="240" w:lineRule="auto"/>
    </w:pPr>
    <w:rPr>
      <w:rFonts w:eastAsia="MS Mincho"/>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rPr>
      <w:cantSplit/>
    </w:trPr>
    <w:tcPr>
      <w:vAlign w:val="center"/>
    </w:tcPr>
    <w:tblStylePr w:type="firstRow">
      <w:rPr>
        <w:b/>
        <w:bCs/>
        <w:color w:val="auto"/>
      </w:rPr>
      <w:tblPr/>
      <w:trPr>
        <w:tblHeader/>
      </w:trPr>
      <w:tcPr>
        <w:shd w:val="clear" w:color="auto" w:fill="DCDCDC"/>
        <w:vAlign w:val="bottom"/>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F5F5F5"/>
      </w:tcPr>
    </w:tblStylePr>
  </w:style>
  <w:style w:type="paragraph" w:styleId="TOC3">
    <w:name w:val="toc 3"/>
    <w:basedOn w:val="Normal"/>
    <w:next w:val="Normal"/>
    <w:autoRedefine/>
    <w:uiPriority w:val="39"/>
    <w:unhideWhenUsed/>
    <w:rsid w:val="00B92B6E"/>
    <w:pPr>
      <w:spacing w:after="100"/>
      <w:ind w:left="480"/>
    </w:pPr>
  </w:style>
  <w:style w:type="table" w:styleId="GridTable4-Accent1">
    <w:name w:val="Grid Table 4 Accent 1"/>
    <w:basedOn w:val="TableNormal"/>
    <w:uiPriority w:val="49"/>
    <w:rsid w:val="00277CE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18</Pages>
  <Words>6417</Words>
  <Characters>36577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Eaton</dc:creator>
  <cp:keywords/>
  <dc:description/>
  <cp:lastModifiedBy>tiffany domes</cp:lastModifiedBy>
  <cp:revision>54</cp:revision>
  <dcterms:created xsi:type="dcterms:W3CDTF">2025-09-15T01:08:00Z</dcterms:created>
  <dcterms:modified xsi:type="dcterms:W3CDTF">2025-09-15T16:56:00Z</dcterms:modified>
</cp:coreProperties>
</file>